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Theme="minorEastAsia"/>
          <w:b/>
          <w:bCs/>
          <w:color w:val="FF0000"/>
          <w:sz w:val="44"/>
          <w:szCs w:val="44"/>
        </w:rPr>
      </w:pPr>
    </w:p>
    <w:p>
      <w:pPr>
        <w:pStyle w:val="2"/>
        <w:rPr>
          <w:rFonts w:ascii="Times New Roman" w:hAnsi="Times New Roman" w:eastAsiaTheme="minorEastAsia"/>
          <w:b/>
          <w:color w:val="FF0000"/>
          <w:kern w:val="2"/>
          <w:sz w:val="44"/>
          <w:szCs w:val="44"/>
          <w:lang w:val="zh-CN"/>
        </w:rPr>
      </w:pPr>
    </w:p>
    <w:p>
      <w:pPr>
        <w:rPr>
          <w:rFonts w:ascii="Times New Roman" w:hAnsi="Times New Roman" w:eastAsiaTheme="minorEastAsia"/>
          <w:lang w:val="zh-CN"/>
        </w:rPr>
      </w:pPr>
    </w:p>
    <w:p>
      <w:pPr>
        <w:spacing w:line="360" w:lineRule="auto"/>
        <w:jc w:val="center"/>
        <w:rPr>
          <w:rFonts w:ascii="Times New Roman" w:hAnsi="Times New Roman" w:eastAsiaTheme="minorEastAsia"/>
          <w:b/>
          <w:sz w:val="48"/>
          <w:szCs w:val="48"/>
          <w:lang w:val="zh-CN"/>
        </w:rPr>
      </w:pPr>
      <w:r>
        <w:rPr>
          <w:rFonts w:ascii="Times New Roman" w:hAnsi="Times New Roman" w:eastAsiaTheme="minorEastAsia"/>
          <w:b/>
          <w:sz w:val="48"/>
          <w:szCs w:val="48"/>
          <w:lang w:val="zh-CN"/>
        </w:rPr>
        <w:t>报废农业机械回收拆解项目</w:t>
      </w:r>
    </w:p>
    <w:p>
      <w:pPr>
        <w:spacing w:line="360" w:lineRule="auto"/>
        <w:jc w:val="center"/>
        <w:rPr>
          <w:rFonts w:ascii="Times New Roman" w:hAnsi="Times New Roman" w:eastAsiaTheme="minorEastAsia"/>
          <w:b/>
          <w:bCs/>
          <w:sz w:val="48"/>
          <w:szCs w:val="48"/>
        </w:rPr>
      </w:pPr>
      <w:r>
        <w:rPr>
          <w:rFonts w:ascii="Times New Roman" w:hAnsi="Times New Roman" w:eastAsiaTheme="minorEastAsia"/>
          <w:b/>
          <w:sz w:val="48"/>
          <w:szCs w:val="48"/>
          <w:lang w:val="zh-CN"/>
        </w:rPr>
        <w:t>竣工环境保护</w:t>
      </w:r>
      <w:r>
        <w:rPr>
          <w:rFonts w:ascii="Times New Roman" w:hAnsi="Times New Roman" w:eastAsiaTheme="minorEastAsia"/>
          <w:b/>
          <w:sz w:val="48"/>
          <w:szCs w:val="48"/>
        </w:rPr>
        <w:t>验收监测报告表</w:t>
      </w:r>
    </w:p>
    <w:p>
      <w:pPr>
        <w:pStyle w:val="9"/>
        <w:rPr>
          <w:rFonts w:ascii="Times New Roman" w:hAnsi="Times New Roman" w:eastAsiaTheme="minorEastAsia"/>
          <w:b/>
          <w:bCs/>
          <w:sz w:val="44"/>
          <w:szCs w:val="44"/>
        </w:rPr>
      </w:pPr>
    </w:p>
    <w:p>
      <w:pPr>
        <w:pStyle w:val="9"/>
        <w:rPr>
          <w:rFonts w:ascii="Times New Roman" w:hAnsi="Times New Roman" w:eastAsiaTheme="minorEastAsia"/>
          <w:b/>
          <w:bCs/>
          <w:sz w:val="44"/>
          <w:szCs w:val="44"/>
        </w:rPr>
      </w:pPr>
    </w:p>
    <w:p>
      <w:pPr>
        <w:pStyle w:val="9"/>
        <w:rPr>
          <w:rFonts w:ascii="Times New Roman" w:hAnsi="Times New Roman" w:eastAsiaTheme="minorEastAsia"/>
          <w:b/>
          <w:bCs/>
        </w:rPr>
      </w:pPr>
    </w:p>
    <w:p>
      <w:pPr>
        <w:pStyle w:val="9"/>
        <w:rPr>
          <w:rFonts w:ascii="Times New Roman" w:hAnsi="Times New Roman" w:eastAsiaTheme="minorEastAsia"/>
          <w:b/>
          <w:bCs/>
        </w:rPr>
      </w:pPr>
    </w:p>
    <w:p>
      <w:pPr>
        <w:pStyle w:val="9"/>
        <w:rPr>
          <w:rFonts w:ascii="Times New Roman" w:hAnsi="Times New Roman" w:eastAsiaTheme="minorEastAsia"/>
          <w:b/>
          <w:bCs/>
        </w:rPr>
      </w:pPr>
    </w:p>
    <w:p>
      <w:pPr>
        <w:pStyle w:val="9"/>
        <w:rPr>
          <w:rFonts w:ascii="Times New Roman" w:hAnsi="Times New Roman" w:eastAsiaTheme="minorEastAsia"/>
          <w:b/>
          <w:bCs/>
        </w:rPr>
      </w:pPr>
    </w:p>
    <w:p>
      <w:pPr>
        <w:pStyle w:val="9"/>
        <w:rPr>
          <w:rFonts w:ascii="Times New Roman" w:hAnsi="Times New Roman" w:eastAsiaTheme="minorEastAsia"/>
          <w:b/>
          <w:bCs/>
        </w:rPr>
      </w:pPr>
    </w:p>
    <w:p>
      <w:pPr>
        <w:pStyle w:val="9"/>
        <w:rPr>
          <w:rFonts w:ascii="Times New Roman" w:hAnsi="Times New Roman" w:eastAsiaTheme="minorEastAsia"/>
          <w:b/>
          <w:bCs/>
        </w:rPr>
      </w:pPr>
    </w:p>
    <w:p>
      <w:pPr>
        <w:pStyle w:val="9"/>
        <w:rPr>
          <w:rFonts w:ascii="Times New Roman" w:hAnsi="Times New Roman" w:eastAsiaTheme="minorEastAsia"/>
          <w:b/>
          <w:bCs/>
        </w:rPr>
      </w:pPr>
    </w:p>
    <w:p>
      <w:pPr>
        <w:pStyle w:val="9"/>
        <w:rPr>
          <w:rFonts w:ascii="Times New Roman" w:hAnsi="Times New Roman" w:eastAsiaTheme="minorEastAsia"/>
          <w:b/>
          <w:bCs/>
        </w:rPr>
      </w:pPr>
    </w:p>
    <w:p>
      <w:pPr>
        <w:pStyle w:val="9"/>
        <w:rPr>
          <w:rFonts w:ascii="Times New Roman" w:hAnsi="Times New Roman" w:eastAsiaTheme="minorEastAsia"/>
          <w:b/>
          <w:bCs/>
        </w:rPr>
      </w:pPr>
    </w:p>
    <w:p>
      <w:pPr>
        <w:pStyle w:val="9"/>
        <w:rPr>
          <w:rFonts w:ascii="Times New Roman" w:hAnsi="Times New Roman" w:eastAsiaTheme="minorEastAsia"/>
          <w:b/>
          <w:bCs/>
        </w:rPr>
      </w:pPr>
    </w:p>
    <w:p>
      <w:pPr>
        <w:rPr>
          <w:rFonts w:ascii="Times New Roman" w:hAnsi="Times New Roman" w:eastAsiaTheme="minorEastAsia"/>
          <w:b/>
          <w:bCs/>
          <w:sz w:val="32"/>
          <w:szCs w:val="32"/>
          <w:lang w:val="zh-CN"/>
        </w:rPr>
      </w:pPr>
    </w:p>
    <w:p>
      <w:pPr>
        <w:pStyle w:val="2"/>
        <w:rPr>
          <w:rFonts w:ascii="Times New Roman" w:hAnsi="Times New Roman" w:eastAsiaTheme="minorEastAsia"/>
          <w:color w:val="auto"/>
          <w:lang w:val="zh-CN"/>
        </w:rPr>
      </w:pPr>
    </w:p>
    <w:p>
      <w:pPr>
        <w:rPr>
          <w:rFonts w:ascii="Times New Roman" w:hAnsi="Times New Roman" w:eastAsiaTheme="minorEastAsia"/>
          <w:lang w:val="zh-CN"/>
        </w:rPr>
      </w:pPr>
    </w:p>
    <w:p>
      <w:pPr>
        <w:pStyle w:val="2"/>
        <w:rPr>
          <w:rFonts w:ascii="Times New Roman" w:hAnsi="Times New Roman" w:eastAsiaTheme="minorEastAsia"/>
          <w:color w:val="auto"/>
          <w:lang w:val="zh-CN"/>
        </w:rPr>
      </w:pPr>
    </w:p>
    <w:p>
      <w:pPr>
        <w:rPr>
          <w:rFonts w:ascii="Times New Roman" w:hAnsi="Times New Roman" w:eastAsiaTheme="minorEastAsia"/>
          <w:lang w:val="zh-CN"/>
        </w:rPr>
      </w:pPr>
    </w:p>
    <w:p>
      <w:pPr>
        <w:pStyle w:val="2"/>
        <w:rPr>
          <w:rFonts w:ascii="Times New Roman" w:hAnsi="Times New Roman" w:eastAsiaTheme="minorEastAsia"/>
          <w:color w:val="auto"/>
          <w:lang w:val="zh-CN"/>
        </w:rPr>
      </w:pPr>
    </w:p>
    <w:p>
      <w:pPr>
        <w:rPr>
          <w:rFonts w:ascii="Times New Roman" w:hAnsi="Times New Roman" w:eastAsiaTheme="minorEastAsia"/>
          <w:b/>
          <w:bCs/>
          <w:sz w:val="32"/>
          <w:szCs w:val="32"/>
          <w:lang w:val="zh-CN"/>
        </w:rPr>
      </w:pPr>
    </w:p>
    <w:p>
      <w:pPr>
        <w:pStyle w:val="2"/>
        <w:rPr>
          <w:rFonts w:ascii="Times New Roman" w:hAnsi="Times New Roman"/>
          <w:color w:val="auto"/>
          <w:lang w:val="zh-CN"/>
        </w:rPr>
      </w:pPr>
    </w:p>
    <w:p>
      <w:pPr>
        <w:rPr>
          <w:rFonts w:ascii="Times New Roman" w:hAnsi="Times New Roman"/>
          <w:lang w:val="zh-CN"/>
        </w:rPr>
      </w:pPr>
    </w:p>
    <w:p>
      <w:pPr>
        <w:spacing w:line="360" w:lineRule="auto"/>
        <w:jc w:val="center"/>
        <w:rPr>
          <w:rFonts w:ascii="Times New Roman" w:hAnsi="Times New Roman" w:eastAsiaTheme="minorEastAsia"/>
          <w:b/>
          <w:bCs/>
          <w:sz w:val="32"/>
          <w:szCs w:val="32"/>
        </w:rPr>
      </w:pPr>
    </w:p>
    <w:p>
      <w:pPr>
        <w:spacing w:line="360" w:lineRule="auto"/>
        <w:jc w:val="center"/>
        <w:rPr>
          <w:rFonts w:ascii="Times New Roman" w:hAnsi="Times New Roman" w:eastAsiaTheme="minorEastAsia"/>
          <w:bCs/>
          <w:sz w:val="24"/>
        </w:rPr>
      </w:pPr>
      <w:r>
        <w:rPr>
          <w:rFonts w:ascii="Times New Roman" w:hAnsi="Times New Roman" w:eastAsiaTheme="minorEastAsia"/>
          <w:b/>
          <w:bCs/>
          <w:sz w:val="32"/>
          <w:szCs w:val="32"/>
        </w:rPr>
        <w:t>建设单位：黑龙江远辰科技产业有限公司</w:t>
      </w:r>
    </w:p>
    <w:p>
      <w:pPr>
        <w:spacing w:before="156" w:beforeLines="50" w:after="156" w:afterLines="50" w:line="360" w:lineRule="auto"/>
        <w:jc w:val="center"/>
        <w:rPr>
          <w:rFonts w:ascii="Times New Roman" w:hAnsi="Times New Roman" w:eastAsiaTheme="minorEastAsia"/>
          <w:b/>
          <w:bCs/>
          <w:sz w:val="30"/>
          <w:szCs w:val="30"/>
        </w:rPr>
      </w:pPr>
      <w:r>
        <w:rPr>
          <w:rFonts w:ascii="Times New Roman" w:hAnsi="Times New Roman" w:eastAsiaTheme="minorEastAsia"/>
          <w:b/>
          <w:bCs/>
          <w:sz w:val="30"/>
          <w:szCs w:val="30"/>
        </w:rPr>
        <w:t>2022年12月</w:t>
      </w:r>
    </w:p>
    <w:p>
      <w:pPr>
        <w:pStyle w:val="2"/>
        <w:rPr>
          <w:rFonts w:ascii="Times New Roman" w:hAnsi="Times New Roman" w:eastAsiaTheme="minorEastAsia"/>
          <w:color w:val="FF0000"/>
        </w:rPr>
      </w:pPr>
    </w:p>
    <w:p>
      <w:pPr>
        <w:rPr>
          <w:rFonts w:ascii="Times New Roman" w:hAnsi="Times New Roman" w:eastAsiaTheme="minorEastAsia"/>
          <w:color w:val="FF0000"/>
        </w:rPr>
      </w:pPr>
    </w:p>
    <w:p>
      <w:pPr>
        <w:rPr>
          <w:rFonts w:ascii="Times New Roman" w:hAnsi="Times New Roman" w:eastAsiaTheme="minorEastAsia"/>
          <w:color w:val="FF0000"/>
        </w:rPr>
      </w:pPr>
    </w:p>
    <w:p>
      <w:pPr>
        <w:rPr>
          <w:rFonts w:ascii="Times New Roman" w:hAnsi="Times New Roman" w:eastAsiaTheme="minorEastAsia"/>
          <w:b/>
          <w:sz w:val="28"/>
        </w:rPr>
      </w:pPr>
      <w:r>
        <w:rPr>
          <w:rFonts w:ascii="Times New Roman" w:hAnsi="Times New Roman" w:eastAsiaTheme="minorEastAsia"/>
          <w:b/>
          <w:sz w:val="28"/>
        </w:rPr>
        <w:t>建设单位法人代表:</w:t>
      </w:r>
      <w:r>
        <w:rPr>
          <w:rFonts w:ascii="Times New Roman" w:hAnsi="Times New Roman" w:eastAsiaTheme="minorEastAsia"/>
          <w:b/>
          <w:sz w:val="28"/>
        </w:rPr>
        <w:tab/>
      </w:r>
      <w:r>
        <w:rPr>
          <w:rFonts w:ascii="Times New Roman" w:hAnsi="Times New Roman" w:eastAsiaTheme="minorEastAsia"/>
          <w:b/>
          <w:sz w:val="28"/>
        </w:rPr>
        <w:t>（签字）</w:t>
      </w:r>
    </w:p>
    <w:p>
      <w:pPr>
        <w:rPr>
          <w:rFonts w:ascii="Times New Roman" w:hAnsi="Times New Roman" w:eastAsiaTheme="minorEastAsia"/>
          <w:b/>
          <w:sz w:val="28"/>
        </w:rPr>
      </w:pPr>
      <w:r>
        <w:rPr>
          <w:rFonts w:ascii="Times New Roman" w:hAnsi="Times New Roman" w:eastAsiaTheme="minorEastAsia"/>
          <w:b/>
          <w:sz w:val="28"/>
        </w:rPr>
        <w:t>编制单位法人代表:</w:t>
      </w:r>
      <w:r>
        <w:rPr>
          <w:rFonts w:ascii="Times New Roman" w:hAnsi="Times New Roman" w:eastAsiaTheme="minorEastAsia"/>
          <w:b/>
          <w:sz w:val="28"/>
        </w:rPr>
        <w:tab/>
      </w:r>
      <w:r>
        <w:rPr>
          <w:rFonts w:ascii="Times New Roman" w:hAnsi="Times New Roman" w:eastAsiaTheme="minorEastAsia"/>
          <w:b/>
          <w:sz w:val="28"/>
        </w:rPr>
        <w:t>（签字）</w:t>
      </w:r>
    </w:p>
    <w:p>
      <w:pPr>
        <w:rPr>
          <w:rFonts w:ascii="Times New Roman" w:hAnsi="Times New Roman" w:eastAsiaTheme="minorEastAsia"/>
          <w:b/>
          <w:sz w:val="28"/>
        </w:rPr>
      </w:pPr>
      <w:r>
        <w:rPr>
          <w:rFonts w:ascii="Times New Roman" w:hAnsi="Times New Roman" w:eastAsiaTheme="minorEastAsia"/>
          <w:b/>
          <w:sz w:val="28"/>
        </w:rPr>
        <w:t>项目负责人：</w:t>
      </w:r>
    </w:p>
    <w:p>
      <w:pPr>
        <w:rPr>
          <w:rFonts w:ascii="Times New Roman" w:hAnsi="Times New Roman" w:eastAsiaTheme="minorEastAsia"/>
          <w:b/>
          <w:sz w:val="28"/>
        </w:rPr>
      </w:pPr>
      <w:r>
        <w:rPr>
          <w:rFonts w:ascii="Times New Roman" w:hAnsi="Times New Roman" w:eastAsiaTheme="minorEastAsia"/>
          <w:b/>
          <w:sz w:val="28"/>
        </w:rPr>
        <w:t>填表人：</w:t>
      </w:r>
    </w:p>
    <w:p>
      <w:pPr>
        <w:tabs>
          <w:tab w:val="left" w:pos="984"/>
        </w:tabs>
        <w:rPr>
          <w:rFonts w:ascii="Times New Roman" w:hAnsi="Times New Roman" w:eastAsiaTheme="minorEastAsia"/>
          <w:sz w:val="28"/>
        </w:rPr>
      </w:pPr>
    </w:p>
    <w:p>
      <w:pPr>
        <w:tabs>
          <w:tab w:val="left" w:pos="984"/>
        </w:tabs>
        <w:rPr>
          <w:rFonts w:ascii="Times New Roman" w:hAnsi="Times New Roman" w:eastAsiaTheme="minorEastAsia"/>
          <w:color w:val="FF0000"/>
          <w:sz w:val="28"/>
        </w:rPr>
      </w:pPr>
    </w:p>
    <w:p>
      <w:pPr>
        <w:tabs>
          <w:tab w:val="left" w:pos="984"/>
        </w:tabs>
        <w:rPr>
          <w:rFonts w:ascii="Times New Roman" w:hAnsi="Times New Roman" w:eastAsiaTheme="minorEastAsia"/>
          <w:color w:val="FF0000"/>
          <w:sz w:val="28"/>
        </w:rPr>
      </w:pPr>
    </w:p>
    <w:p>
      <w:pPr>
        <w:tabs>
          <w:tab w:val="left" w:pos="984"/>
        </w:tabs>
        <w:rPr>
          <w:rFonts w:ascii="Times New Roman" w:hAnsi="Times New Roman" w:eastAsiaTheme="minorEastAsia"/>
          <w:color w:val="FF0000"/>
          <w:sz w:val="28"/>
        </w:rPr>
      </w:pPr>
    </w:p>
    <w:p>
      <w:pPr>
        <w:tabs>
          <w:tab w:val="left" w:pos="984"/>
        </w:tabs>
        <w:rPr>
          <w:rFonts w:ascii="Times New Roman" w:hAnsi="Times New Roman" w:eastAsiaTheme="minorEastAsia"/>
          <w:color w:val="FF0000"/>
          <w:sz w:val="28"/>
        </w:rPr>
      </w:pPr>
    </w:p>
    <w:p>
      <w:pPr>
        <w:tabs>
          <w:tab w:val="left" w:pos="984"/>
        </w:tabs>
        <w:rPr>
          <w:rFonts w:ascii="Times New Roman" w:hAnsi="Times New Roman" w:eastAsiaTheme="minorEastAsia"/>
          <w:color w:val="FF0000"/>
          <w:sz w:val="28"/>
        </w:rPr>
      </w:pPr>
    </w:p>
    <w:p>
      <w:pPr>
        <w:tabs>
          <w:tab w:val="left" w:pos="984"/>
        </w:tabs>
        <w:rPr>
          <w:rFonts w:ascii="Times New Roman" w:hAnsi="Times New Roman" w:eastAsiaTheme="minorEastAsia"/>
          <w:color w:val="FF0000"/>
          <w:sz w:val="28"/>
        </w:rPr>
      </w:pPr>
    </w:p>
    <w:p>
      <w:pPr>
        <w:tabs>
          <w:tab w:val="left" w:pos="984"/>
        </w:tabs>
        <w:rPr>
          <w:rFonts w:ascii="Times New Roman" w:hAnsi="Times New Roman" w:eastAsiaTheme="minorEastAsia"/>
          <w:color w:val="FF0000"/>
          <w:sz w:val="28"/>
        </w:rPr>
      </w:pPr>
    </w:p>
    <w:p>
      <w:pPr>
        <w:tabs>
          <w:tab w:val="left" w:pos="984"/>
        </w:tabs>
        <w:rPr>
          <w:rFonts w:ascii="Times New Roman" w:hAnsi="Times New Roman" w:eastAsiaTheme="minorEastAsia"/>
          <w:color w:val="FF0000"/>
          <w:sz w:val="28"/>
        </w:rPr>
      </w:pPr>
    </w:p>
    <w:p>
      <w:pPr>
        <w:pStyle w:val="2"/>
        <w:ind w:firstLine="480"/>
        <w:rPr>
          <w:rFonts w:ascii="Times New Roman" w:hAnsi="Times New Roman" w:eastAsiaTheme="minorEastAsia"/>
          <w:color w:val="FF0000"/>
        </w:rPr>
      </w:pPr>
    </w:p>
    <w:p>
      <w:pPr>
        <w:pStyle w:val="2"/>
        <w:ind w:firstLine="480"/>
        <w:rPr>
          <w:rFonts w:ascii="Times New Roman" w:hAnsi="Times New Roman" w:eastAsiaTheme="minorEastAsia"/>
          <w:color w:val="FF0000"/>
        </w:rPr>
      </w:pPr>
    </w:p>
    <w:p>
      <w:pPr>
        <w:pStyle w:val="2"/>
        <w:ind w:firstLine="480"/>
        <w:rPr>
          <w:rFonts w:ascii="Times New Roman" w:hAnsi="Times New Roman" w:eastAsiaTheme="minorEastAsia"/>
          <w:color w:val="FF0000"/>
        </w:rPr>
      </w:pPr>
    </w:p>
    <w:p>
      <w:pPr>
        <w:pStyle w:val="2"/>
        <w:ind w:firstLine="480"/>
        <w:rPr>
          <w:rFonts w:ascii="Times New Roman" w:hAnsi="Times New Roman" w:eastAsiaTheme="minorEastAsia"/>
          <w:color w:val="FF0000"/>
        </w:rPr>
      </w:pPr>
    </w:p>
    <w:p>
      <w:pPr>
        <w:pStyle w:val="2"/>
        <w:ind w:firstLine="480"/>
        <w:rPr>
          <w:rFonts w:ascii="Times New Roman" w:hAnsi="Times New Roman" w:eastAsiaTheme="minorEastAsia"/>
          <w:color w:val="FF0000"/>
        </w:rPr>
      </w:pPr>
    </w:p>
    <w:p>
      <w:pPr>
        <w:tabs>
          <w:tab w:val="left" w:pos="984"/>
        </w:tabs>
        <w:rPr>
          <w:rFonts w:ascii="Times New Roman" w:hAnsi="Times New Roman" w:eastAsiaTheme="minorEastAsia"/>
          <w:color w:val="FF0000"/>
          <w:sz w:val="28"/>
        </w:rPr>
      </w:pPr>
    </w:p>
    <w:p>
      <w:pPr>
        <w:pStyle w:val="2"/>
        <w:ind w:firstLine="480"/>
        <w:rPr>
          <w:rFonts w:ascii="Times New Roman" w:hAnsi="Times New Roman" w:eastAsiaTheme="minorEastAsia"/>
          <w:color w:val="FF0000"/>
        </w:rPr>
      </w:pPr>
    </w:p>
    <w:tbl>
      <w:tblPr>
        <w:tblStyle w:val="21"/>
        <w:tblpPr w:leftFromText="180" w:rightFromText="180" w:vertAnchor="text" w:horzAnchor="page" w:tblpX="1578" w:tblpY="64"/>
        <w:tblOverlap w:val="never"/>
        <w:tblW w:w="9210" w:type="dxa"/>
        <w:tblInd w:w="0" w:type="dxa"/>
        <w:tblLayout w:type="fixed"/>
        <w:tblCellMar>
          <w:top w:w="0" w:type="dxa"/>
          <w:left w:w="108" w:type="dxa"/>
          <w:bottom w:w="0" w:type="dxa"/>
          <w:right w:w="108" w:type="dxa"/>
        </w:tblCellMar>
      </w:tblPr>
      <w:tblGrid>
        <w:gridCol w:w="4882"/>
        <w:gridCol w:w="4328"/>
      </w:tblGrid>
      <w:tr>
        <w:tblPrEx>
          <w:tblCellMar>
            <w:top w:w="0" w:type="dxa"/>
            <w:left w:w="108" w:type="dxa"/>
            <w:bottom w:w="0" w:type="dxa"/>
            <w:right w:w="108" w:type="dxa"/>
          </w:tblCellMar>
        </w:tblPrEx>
        <w:trPr>
          <w:cantSplit/>
          <w:trHeight w:val="454" w:hRule="atLeast"/>
        </w:trPr>
        <w:tc>
          <w:tcPr>
            <w:tcW w:w="4882" w:type="dxa"/>
            <w:tcBorders>
              <w:tl2br w:val="nil"/>
              <w:tr2bl w:val="nil"/>
            </w:tcBorders>
            <w:shd w:val="clear" w:color="auto" w:fill="auto"/>
          </w:tcPr>
          <w:p>
            <w:pPr>
              <w:ind w:left="1050" w:hanging="1050" w:hangingChars="500"/>
              <w:rPr>
                <w:rFonts w:ascii="Times New Roman" w:hAnsi="Times New Roman" w:eastAsiaTheme="minorEastAsia"/>
              </w:rPr>
            </w:pPr>
            <w:r>
              <w:rPr>
                <w:rFonts w:ascii="Times New Roman" w:hAnsi="Times New Roman" w:eastAsiaTheme="minorEastAsia"/>
              </w:rPr>
              <w:t>建设单位：黑龙江远辰科技产业有限公司</w:t>
            </w:r>
          </w:p>
        </w:tc>
        <w:tc>
          <w:tcPr>
            <w:tcW w:w="4328" w:type="dxa"/>
            <w:tcBorders>
              <w:tl2br w:val="nil"/>
              <w:tr2bl w:val="nil"/>
            </w:tcBorders>
            <w:shd w:val="clear" w:color="auto" w:fill="auto"/>
          </w:tcPr>
          <w:p>
            <w:pPr>
              <w:ind w:left="1050" w:hanging="1050" w:hangingChars="500"/>
              <w:rPr>
                <w:rFonts w:ascii="Times New Roman" w:hAnsi="Times New Roman" w:eastAsiaTheme="minorEastAsia"/>
              </w:rPr>
            </w:pPr>
            <w:r>
              <w:rPr>
                <w:rFonts w:ascii="Times New Roman" w:hAnsi="Times New Roman" w:eastAsiaTheme="minorEastAsia"/>
              </w:rPr>
              <w:t>编制单位：黑龙江远辰科技产业有限公司</w:t>
            </w:r>
          </w:p>
        </w:tc>
      </w:tr>
      <w:tr>
        <w:tblPrEx>
          <w:tblCellMar>
            <w:top w:w="0" w:type="dxa"/>
            <w:left w:w="108" w:type="dxa"/>
            <w:bottom w:w="0" w:type="dxa"/>
            <w:right w:w="108" w:type="dxa"/>
          </w:tblCellMar>
        </w:tblPrEx>
        <w:trPr>
          <w:cantSplit/>
          <w:trHeight w:val="454" w:hRule="atLeast"/>
        </w:trPr>
        <w:tc>
          <w:tcPr>
            <w:tcW w:w="4882" w:type="dxa"/>
            <w:tcBorders>
              <w:tl2br w:val="nil"/>
              <w:tr2bl w:val="nil"/>
            </w:tcBorders>
            <w:shd w:val="clear" w:color="auto" w:fill="auto"/>
          </w:tcPr>
          <w:p>
            <w:pPr>
              <w:ind w:left="1050" w:hanging="1050" w:hangingChars="500"/>
              <w:rPr>
                <w:rFonts w:ascii="Times New Roman" w:hAnsi="Times New Roman" w:eastAsiaTheme="minorEastAsia"/>
              </w:rPr>
            </w:pPr>
            <w:r>
              <w:rPr>
                <w:rFonts w:ascii="Times New Roman" w:hAnsi="Times New Roman" w:eastAsiaTheme="minorEastAsia"/>
              </w:rPr>
              <w:t>电话：13684545398</w:t>
            </w:r>
          </w:p>
        </w:tc>
        <w:tc>
          <w:tcPr>
            <w:tcW w:w="4328" w:type="dxa"/>
            <w:tcBorders>
              <w:tl2br w:val="nil"/>
              <w:tr2bl w:val="nil"/>
            </w:tcBorders>
            <w:shd w:val="clear" w:color="auto" w:fill="auto"/>
          </w:tcPr>
          <w:p>
            <w:pPr>
              <w:tabs>
                <w:tab w:val="left" w:pos="5143"/>
              </w:tabs>
              <w:ind w:right="417"/>
              <w:rPr>
                <w:rFonts w:ascii="Times New Roman" w:hAnsi="Times New Roman" w:eastAsiaTheme="minorEastAsia"/>
                <w:b/>
                <w:sz w:val="18"/>
              </w:rPr>
            </w:pPr>
            <w:r>
              <w:rPr>
                <w:rFonts w:ascii="Times New Roman" w:hAnsi="Times New Roman" w:eastAsiaTheme="minorEastAsia"/>
              </w:rPr>
              <w:t>电话：13684545398</w:t>
            </w:r>
          </w:p>
        </w:tc>
      </w:tr>
      <w:tr>
        <w:tblPrEx>
          <w:tblCellMar>
            <w:top w:w="0" w:type="dxa"/>
            <w:left w:w="108" w:type="dxa"/>
            <w:bottom w:w="0" w:type="dxa"/>
            <w:right w:w="108" w:type="dxa"/>
          </w:tblCellMar>
        </w:tblPrEx>
        <w:trPr>
          <w:cantSplit/>
          <w:trHeight w:val="454" w:hRule="atLeast"/>
        </w:trPr>
        <w:tc>
          <w:tcPr>
            <w:tcW w:w="4882" w:type="dxa"/>
            <w:tcBorders>
              <w:tl2br w:val="nil"/>
              <w:tr2bl w:val="nil"/>
            </w:tcBorders>
            <w:shd w:val="clear" w:color="auto" w:fill="auto"/>
          </w:tcPr>
          <w:p>
            <w:pPr>
              <w:ind w:left="1050" w:hanging="1050" w:hangingChars="500"/>
              <w:rPr>
                <w:rFonts w:ascii="Times New Roman" w:hAnsi="Times New Roman" w:eastAsiaTheme="minorEastAsia"/>
              </w:rPr>
            </w:pPr>
            <w:r>
              <w:rPr>
                <w:rFonts w:ascii="Times New Roman" w:hAnsi="Times New Roman" w:eastAsiaTheme="minorEastAsia"/>
              </w:rPr>
              <w:t>传真：——</w:t>
            </w:r>
          </w:p>
        </w:tc>
        <w:tc>
          <w:tcPr>
            <w:tcW w:w="4328" w:type="dxa"/>
            <w:tcBorders>
              <w:tl2br w:val="nil"/>
              <w:tr2bl w:val="nil"/>
            </w:tcBorders>
            <w:shd w:val="clear" w:color="auto" w:fill="auto"/>
          </w:tcPr>
          <w:p>
            <w:pPr>
              <w:ind w:left="1050" w:hanging="1050" w:hangingChars="500"/>
              <w:rPr>
                <w:rFonts w:ascii="Times New Roman" w:hAnsi="Times New Roman" w:eastAsiaTheme="minorEastAsia"/>
              </w:rPr>
            </w:pPr>
            <w:r>
              <w:rPr>
                <w:rFonts w:ascii="Times New Roman" w:hAnsi="Times New Roman" w:eastAsiaTheme="minorEastAsia"/>
              </w:rPr>
              <w:t>传真：——</w:t>
            </w:r>
          </w:p>
        </w:tc>
      </w:tr>
      <w:tr>
        <w:tblPrEx>
          <w:tblCellMar>
            <w:top w:w="0" w:type="dxa"/>
            <w:left w:w="108" w:type="dxa"/>
            <w:bottom w:w="0" w:type="dxa"/>
            <w:right w:w="108" w:type="dxa"/>
          </w:tblCellMar>
        </w:tblPrEx>
        <w:trPr>
          <w:cantSplit/>
          <w:trHeight w:val="454" w:hRule="atLeast"/>
        </w:trPr>
        <w:tc>
          <w:tcPr>
            <w:tcW w:w="4882" w:type="dxa"/>
            <w:tcBorders>
              <w:tl2br w:val="nil"/>
              <w:tr2bl w:val="nil"/>
            </w:tcBorders>
            <w:shd w:val="clear" w:color="auto" w:fill="auto"/>
          </w:tcPr>
          <w:p>
            <w:pPr>
              <w:ind w:left="1050" w:hanging="1050" w:hangingChars="500"/>
              <w:rPr>
                <w:rFonts w:ascii="Times New Roman" w:hAnsi="Times New Roman" w:eastAsiaTheme="minorEastAsia"/>
              </w:rPr>
            </w:pPr>
            <w:r>
              <w:rPr>
                <w:rFonts w:ascii="Times New Roman" w:hAnsi="Times New Roman" w:eastAsiaTheme="minorEastAsia"/>
              </w:rPr>
              <w:t>邮编：154300</w:t>
            </w:r>
          </w:p>
        </w:tc>
        <w:tc>
          <w:tcPr>
            <w:tcW w:w="4328" w:type="dxa"/>
            <w:tcBorders>
              <w:tl2br w:val="nil"/>
              <w:tr2bl w:val="nil"/>
            </w:tcBorders>
            <w:shd w:val="clear" w:color="auto" w:fill="auto"/>
          </w:tcPr>
          <w:p>
            <w:pPr>
              <w:ind w:left="1050" w:hanging="1050" w:hangingChars="500"/>
              <w:rPr>
                <w:rFonts w:ascii="Times New Roman" w:hAnsi="Times New Roman" w:eastAsiaTheme="minorEastAsia"/>
              </w:rPr>
            </w:pPr>
            <w:r>
              <w:rPr>
                <w:rFonts w:ascii="Times New Roman" w:hAnsi="Times New Roman" w:eastAsiaTheme="minorEastAsia"/>
              </w:rPr>
              <w:t>邮编：154300</w:t>
            </w:r>
          </w:p>
        </w:tc>
      </w:tr>
      <w:tr>
        <w:tblPrEx>
          <w:tblCellMar>
            <w:top w:w="0" w:type="dxa"/>
            <w:left w:w="108" w:type="dxa"/>
            <w:bottom w:w="0" w:type="dxa"/>
            <w:right w:w="108" w:type="dxa"/>
          </w:tblCellMar>
        </w:tblPrEx>
        <w:trPr>
          <w:cantSplit/>
          <w:trHeight w:val="454" w:hRule="atLeast"/>
        </w:trPr>
        <w:tc>
          <w:tcPr>
            <w:tcW w:w="4882" w:type="dxa"/>
            <w:tcBorders>
              <w:tl2br w:val="nil"/>
              <w:tr2bl w:val="nil"/>
            </w:tcBorders>
            <w:shd w:val="clear" w:color="auto" w:fill="auto"/>
          </w:tcPr>
          <w:p>
            <w:pPr>
              <w:ind w:left="1050" w:hanging="1050" w:hangingChars="500"/>
              <w:rPr>
                <w:rFonts w:ascii="Times New Roman" w:hAnsi="Times New Roman" w:eastAsiaTheme="minorEastAsia"/>
              </w:rPr>
            </w:pPr>
            <w:r>
              <w:rPr>
                <w:rFonts w:ascii="Times New Roman" w:hAnsi="Times New Roman" w:eastAsiaTheme="minorEastAsia"/>
              </w:rPr>
              <w:t>地址：黑龙江省佳术斯市桦川县悦来值沃野办公综合楼二000106</w:t>
            </w:r>
          </w:p>
        </w:tc>
        <w:tc>
          <w:tcPr>
            <w:tcW w:w="4328" w:type="dxa"/>
            <w:tcBorders>
              <w:tl2br w:val="nil"/>
              <w:tr2bl w:val="nil"/>
            </w:tcBorders>
            <w:shd w:val="clear" w:color="auto" w:fill="auto"/>
          </w:tcPr>
          <w:p>
            <w:pPr>
              <w:rPr>
                <w:rFonts w:ascii="Times New Roman" w:hAnsi="Times New Roman" w:eastAsiaTheme="minorEastAsia"/>
              </w:rPr>
            </w:pPr>
            <w:r>
              <w:rPr>
                <w:rFonts w:ascii="Times New Roman" w:hAnsi="Times New Roman" w:eastAsiaTheme="minorEastAsia"/>
              </w:rPr>
              <w:t>地址：黑龙江省佳术斯市桦川县悦来值沃野办公综合楼二000106</w:t>
            </w:r>
          </w:p>
        </w:tc>
      </w:tr>
    </w:tbl>
    <w:p>
      <w:pPr>
        <w:rPr>
          <w:rFonts w:ascii="Times New Roman" w:hAnsi="Times New Roman" w:eastAsiaTheme="minorEastAsia"/>
          <w:color w:val="FF0000"/>
        </w:rPr>
        <w:sectPr>
          <w:footerReference r:id="rId3" w:type="default"/>
          <w:pgSz w:w="11906" w:h="16838"/>
          <w:pgMar w:top="1440" w:right="1800" w:bottom="1440" w:left="1800" w:header="851" w:footer="992" w:gutter="0"/>
          <w:pgNumType w:start="1"/>
          <w:cols w:space="720" w:num="1"/>
          <w:docGrid w:type="lines" w:linePitch="312" w:charSpace="0"/>
        </w:sectPr>
      </w:pPr>
    </w:p>
    <w:p>
      <w:pPr>
        <w:outlineLvl w:val="0"/>
        <w:rPr>
          <w:rFonts w:ascii="Times New Roman" w:hAnsi="Times New Roman" w:eastAsiaTheme="minorEastAsia"/>
          <w:b/>
          <w:bCs/>
          <w:sz w:val="28"/>
          <w:szCs w:val="28"/>
        </w:rPr>
      </w:pPr>
      <w:bookmarkStart w:id="0" w:name="_Toc6853"/>
      <w:r>
        <w:rPr>
          <w:rFonts w:ascii="Times New Roman" w:hAnsi="Times New Roman" w:eastAsiaTheme="minorEastAsia"/>
          <w:b/>
          <w:bCs/>
          <w:sz w:val="28"/>
          <w:szCs w:val="28"/>
        </w:rPr>
        <w:t>表一项目概况</w:t>
      </w:r>
      <w:bookmarkEnd w:id="0"/>
    </w:p>
    <w:tbl>
      <w:tblPr>
        <w:tblStyle w:val="22"/>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0"/>
        <w:gridCol w:w="1670"/>
        <w:gridCol w:w="1910"/>
        <w:gridCol w:w="1112"/>
        <w:gridCol w:w="1596"/>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建设项目名称</w:t>
            </w:r>
          </w:p>
        </w:tc>
        <w:tc>
          <w:tcPr>
            <w:tcW w:w="7041" w:type="dxa"/>
            <w:gridSpan w:val="5"/>
            <w:vAlign w:val="center"/>
          </w:tcPr>
          <w:p>
            <w:pPr>
              <w:jc w:val="center"/>
              <w:rPr>
                <w:rFonts w:ascii="Times New Roman" w:hAnsi="Times New Roman" w:eastAsiaTheme="minorEastAsia"/>
                <w:kern w:val="0"/>
                <w:szCs w:val="21"/>
              </w:rPr>
            </w:pPr>
            <w:bookmarkStart w:id="1" w:name="_Hlk122276748"/>
            <w:r>
              <w:rPr>
                <w:rFonts w:ascii="Times New Roman" w:hAnsi="Times New Roman" w:eastAsiaTheme="minorEastAsia"/>
                <w:bCs/>
              </w:rPr>
              <w:t>报废农业机械回收拆解项目</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建设单位名称</w:t>
            </w:r>
          </w:p>
        </w:tc>
        <w:tc>
          <w:tcPr>
            <w:tcW w:w="7041" w:type="dxa"/>
            <w:gridSpan w:val="5"/>
            <w:vAlign w:val="center"/>
          </w:tcPr>
          <w:p>
            <w:pPr>
              <w:jc w:val="center"/>
              <w:rPr>
                <w:rFonts w:ascii="Times New Roman" w:hAnsi="Times New Roman" w:eastAsiaTheme="minorEastAsia"/>
                <w:kern w:val="0"/>
                <w:szCs w:val="21"/>
              </w:rPr>
            </w:pPr>
            <w:r>
              <w:rPr>
                <w:rFonts w:ascii="Times New Roman" w:hAnsi="Times New Roman" w:eastAsiaTheme="minorEastAsia"/>
                <w:bCs/>
              </w:rPr>
              <w:t>黑龙江远辰科技产业有限公司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建设项目性质</w:t>
            </w:r>
          </w:p>
        </w:tc>
        <w:tc>
          <w:tcPr>
            <w:tcW w:w="7041" w:type="dxa"/>
            <w:gridSpan w:val="5"/>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√新建□改扩建□技改□迁建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建设地点</w:t>
            </w:r>
          </w:p>
        </w:tc>
        <w:tc>
          <w:tcPr>
            <w:tcW w:w="7041" w:type="dxa"/>
            <w:gridSpan w:val="5"/>
            <w:vAlign w:val="center"/>
          </w:tcPr>
          <w:p>
            <w:pPr>
              <w:pStyle w:val="2"/>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黑龙江省佳木斯市桦川县黑龙江桦川经济开发区内</w:t>
            </w:r>
          </w:p>
          <w:p>
            <w:pPr>
              <w:pStyle w:val="2"/>
              <w:jc w:val="center"/>
              <w:rPr>
                <w:rFonts w:ascii="Times New Roman" w:hAnsi="Times New Roman" w:eastAsiaTheme="minorEastAsia"/>
                <w:color w:val="auto"/>
                <w:sz w:val="21"/>
                <w:szCs w:val="21"/>
              </w:rPr>
            </w:pPr>
            <w:r>
              <w:rPr>
                <w:rFonts w:ascii="Times New Roman" w:hAnsi="Times New Roman" w:eastAsiaTheme="minorEastAsia"/>
                <w:bCs/>
                <w:color w:val="auto"/>
                <w:sz w:val="21"/>
                <w:szCs w:val="21"/>
              </w:rPr>
              <w:t>经纬度：东经：130º43′36.868″，北纬：47º0′24.350″。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主要产品名称</w:t>
            </w:r>
          </w:p>
        </w:tc>
        <w:tc>
          <w:tcPr>
            <w:tcW w:w="7041" w:type="dxa"/>
            <w:gridSpan w:val="5"/>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回收拆解报废农用机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设计生产能力</w:t>
            </w:r>
          </w:p>
        </w:tc>
        <w:tc>
          <w:tcPr>
            <w:tcW w:w="7041" w:type="dxa"/>
            <w:gridSpan w:val="5"/>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回收拆解1000台报废农用机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实际生产能力</w:t>
            </w:r>
          </w:p>
        </w:tc>
        <w:tc>
          <w:tcPr>
            <w:tcW w:w="7041" w:type="dxa"/>
            <w:gridSpan w:val="5"/>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回收拆解1000台报废农用机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建设项目环评时间</w:t>
            </w:r>
          </w:p>
        </w:tc>
        <w:tc>
          <w:tcPr>
            <w:tcW w:w="1417"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2022.11</w:t>
            </w:r>
          </w:p>
        </w:tc>
        <w:tc>
          <w:tcPr>
            <w:tcW w:w="1985"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开工建设时间</w:t>
            </w:r>
          </w:p>
        </w:tc>
        <w:tc>
          <w:tcPr>
            <w:tcW w:w="3639" w:type="dxa"/>
            <w:gridSpan w:val="3"/>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2022.12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调试时间</w:t>
            </w:r>
          </w:p>
        </w:tc>
        <w:tc>
          <w:tcPr>
            <w:tcW w:w="1417"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2022.12.17</w:t>
            </w:r>
          </w:p>
        </w:tc>
        <w:tc>
          <w:tcPr>
            <w:tcW w:w="1985"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验收现场监测时间</w:t>
            </w:r>
          </w:p>
        </w:tc>
        <w:tc>
          <w:tcPr>
            <w:tcW w:w="3639" w:type="dxa"/>
            <w:gridSpan w:val="3"/>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2022.12.18~2022.12.19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环评报告表</w:t>
            </w:r>
          </w:p>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审批部门</w:t>
            </w:r>
          </w:p>
        </w:tc>
        <w:tc>
          <w:tcPr>
            <w:tcW w:w="1417" w:type="dxa"/>
            <w:vAlign w:val="center"/>
          </w:tcPr>
          <w:p>
            <w:pPr>
              <w:pStyle w:val="2"/>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lang w:eastAsia="zh-CN"/>
              </w:rPr>
              <w:t>佳木斯市桦川</w:t>
            </w:r>
            <w:r>
              <w:rPr>
                <w:rFonts w:ascii="Times New Roman" w:hAnsi="Times New Roman" w:eastAsiaTheme="minorEastAsia"/>
                <w:color w:val="auto"/>
                <w:sz w:val="21"/>
                <w:szCs w:val="21"/>
              </w:rPr>
              <w:t>生态环境局</w:t>
            </w:r>
          </w:p>
        </w:tc>
        <w:tc>
          <w:tcPr>
            <w:tcW w:w="1985"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环评报告表</w:t>
            </w:r>
          </w:p>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编制单位</w:t>
            </w:r>
          </w:p>
        </w:tc>
        <w:tc>
          <w:tcPr>
            <w:tcW w:w="3639" w:type="dxa"/>
            <w:gridSpan w:val="3"/>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哈尔滨泽生环境科技有限公司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环保设施设计单位</w:t>
            </w:r>
          </w:p>
        </w:tc>
        <w:tc>
          <w:tcPr>
            <w:tcW w:w="1417"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1985"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环保设施施工单位</w:t>
            </w:r>
          </w:p>
        </w:tc>
        <w:tc>
          <w:tcPr>
            <w:tcW w:w="3639" w:type="dxa"/>
            <w:gridSpan w:val="3"/>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投资总概算（万元）</w:t>
            </w:r>
          </w:p>
        </w:tc>
        <w:tc>
          <w:tcPr>
            <w:tcW w:w="1417"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50</w:t>
            </w:r>
          </w:p>
        </w:tc>
        <w:tc>
          <w:tcPr>
            <w:tcW w:w="1985"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环保投资总概算</w:t>
            </w:r>
          </w:p>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（万元）</w:t>
            </w:r>
          </w:p>
        </w:tc>
        <w:tc>
          <w:tcPr>
            <w:tcW w:w="1115"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10</w:t>
            </w:r>
          </w:p>
        </w:tc>
        <w:tc>
          <w:tcPr>
            <w:tcW w:w="1419"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比例（%）</w:t>
            </w:r>
          </w:p>
        </w:tc>
        <w:tc>
          <w:tcPr>
            <w:tcW w:w="1105"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实际总概算（万元）</w:t>
            </w:r>
          </w:p>
        </w:tc>
        <w:tc>
          <w:tcPr>
            <w:tcW w:w="1417"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50</w:t>
            </w:r>
          </w:p>
        </w:tc>
        <w:tc>
          <w:tcPr>
            <w:tcW w:w="1985"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环保投资（万元）</w:t>
            </w:r>
          </w:p>
        </w:tc>
        <w:tc>
          <w:tcPr>
            <w:tcW w:w="1115"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10</w:t>
            </w:r>
          </w:p>
        </w:tc>
        <w:tc>
          <w:tcPr>
            <w:tcW w:w="1419"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比例</w:t>
            </w:r>
            <w:bookmarkStart w:id="99" w:name="_GoBack"/>
            <w:bookmarkEnd w:id="99"/>
            <w:r>
              <w:rPr>
                <w:rFonts w:ascii="Times New Roman" w:hAnsi="Times New Roman" w:eastAsiaTheme="minorEastAsia"/>
                <w:color w:val="auto"/>
                <w:sz w:val="21"/>
                <w:szCs w:val="21"/>
              </w:rPr>
              <w:t>（%）</w:t>
            </w:r>
          </w:p>
        </w:tc>
        <w:tc>
          <w:tcPr>
            <w:tcW w:w="1105" w:type="dxa"/>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1980" w:type="dxa"/>
            <w:vAlign w:val="center"/>
          </w:tcPr>
          <w:p>
            <w:pPr>
              <w:pStyle w:val="2"/>
              <w:spacing w:line="360" w:lineRule="auto"/>
              <w:jc w:val="center"/>
              <w:rPr>
                <w:rFonts w:ascii="Times New Roman" w:hAnsi="Times New Roman" w:eastAsiaTheme="minorEastAsia"/>
                <w:color w:val="FF0000"/>
                <w:sz w:val="21"/>
                <w:szCs w:val="21"/>
              </w:rPr>
            </w:pPr>
            <w:r>
              <w:rPr>
                <w:rFonts w:ascii="Times New Roman" w:hAnsi="Times New Roman" w:eastAsiaTheme="minorEastAsia"/>
                <w:color w:val="auto"/>
                <w:sz w:val="21"/>
                <w:szCs w:val="21"/>
              </w:rPr>
              <w:t>验收监测依据</w:t>
            </w:r>
          </w:p>
        </w:tc>
        <w:tc>
          <w:tcPr>
            <w:tcW w:w="7041" w:type="dxa"/>
            <w:gridSpan w:val="5"/>
            <w:vAlign w:val="center"/>
          </w:tcPr>
          <w:p>
            <w:pPr>
              <w:adjustRightInd w:val="0"/>
              <w:spacing w:line="360" w:lineRule="auto"/>
              <w:rPr>
                <w:rFonts w:ascii="Times New Roman" w:hAnsi="Times New Roman" w:eastAsiaTheme="minorEastAsia"/>
                <w:sz w:val="24"/>
                <w:szCs w:val="21"/>
              </w:rPr>
            </w:pPr>
            <w:r>
              <w:rPr>
                <w:rFonts w:ascii="Times New Roman" w:hAnsi="Times New Roman" w:eastAsiaTheme="minorEastAsia"/>
                <w:sz w:val="24"/>
                <w:szCs w:val="21"/>
              </w:rPr>
              <w:t>1、《中华人民共和国环境保护法》（2015.1.1起实施）</w:t>
            </w:r>
          </w:p>
          <w:p>
            <w:pPr>
              <w:spacing w:line="360" w:lineRule="auto"/>
              <w:jc w:val="left"/>
              <w:rPr>
                <w:rFonts w:ascii="Times New Roman" w:hAnsi="Times New Roman" w:eastAsiaTheme="minorEastAsia"/>
                <w:sz w:val="24"/>
                <w:szCs w:val="21"/>
              </w:rPr>
            </w:pPr>
            <w:r>
              <w:rPr>
                <w:rFonts w:ascii="Times New Roman" w:hAnsi="Times New Roman" w:eastAsiaTheme="minorEastAsia"/>
                <w:sz w:val="24"/>
                <w:szCs w:val="21"/>
              </w:rPr>
              <w:t>2、《中华人民共和国大气污染防治法》（2018.10.26起实施）</w:t>
            </w:r>
          </w:p>
          <w:p>
            <w:pPr>
              <w:spacing w:line="360" w:lineRule="auto"/>
              <w:jc w:val="left"/>
              <w:rPr>
                <w:rFonts w:ascii="Times New Roman" w:hAnsi="Times New Roman" w:eastAsiaTheme="minorEastAsia"/>
                <w:sz w:val="24"/>
                <w:szCs w:val="21"/>
              </w:rPr>
            </w:pPr>
            <w:r>
              <w:rPr>
                <w:rFonts w:ascii="Times New Roman" w:hAnsi="Times New Roman" w:eastAsiaTheme="minorEastAsia"/>
                <w:sz w:val="24"/>
                <w:szCs w:val="21"/>
              </w:rPr>
              <w:t>3、《中华人民共和国水污染防治法》（2018.1.1起实施）</w:t>
            </w:r>
          </w:p>
          <w:p>
            <w:pPr>
              <w:pStyle w:val="2"/>
              <w:spacing w:line="360" w:lineRule="auto"/>
              <w:jc w:val="both"/>
              <w:rPr>
                <w:rFonts w:ascii="Times New Roman" w:hAnsi="Times New Roman" w:eastAsiaTheme="minorEastAsia"/>
                <w:color w:val="auto"/>
                <w:szCs w:val="21"/>
              </w:rPr>
            </w:pPr>
            <w:r>
              <w:rPr>
                <w:rFonts w:ascii="Times New Roman" w:hAnsi="Times New Roman" w:eastAsiaTheme="minorEastAsia"/>
                <w:color w:val="auto"/>
                <w:szCs w:val="21"/>
              </w:rPr>
              <w:t>4、《中华人民共和国固体废物污染环境防治法》（2020.9.1起实施）</w:t>
            </w:r>
          </w:p>
          <w:p>
            <w:pPr>
              <w:pStyle w:val="2"/>
              <w:spacing w:line="360" w:lineRule="auto"/>
              <w:jc w:val="both"/>
              <w:rPr>
                <w:rFonts w:ascii="Times New Roman" w:hAnsi="Times New Roman" w:eastAsiaTheme="minorEastAsia"/>
                <w:color w:val="auto"/>
                <w:szCs w:val="21"/>
              </w:rPr>
            </w:pPr>
            <w:r>
              <w:rPr>
                <w:rFonts w:ascii="Times New Roman" w:hAnsi="Times New Roman" w:eastAsiaTheme="minorEastAsia"/>
                <w:color w:val="auto"/>
                <w:szCs w:val="21"/>
              </w:rPr>
              <w:t>5、《中华人民共和国环境噪声污染防治法》（2021修正版）</w:t>
            </w:r>
          </w:p>
          <w:p>
            <w:pPr>
              <w:spacing w:line="360" w:lineRule="auto"/>
              <w:jc w:val="left"/>
              <w:rPr>
                <w:rFonts w:ascii="Times New Roman" w:hAnsi="Times New Roman" w:eastAsiaTheme="minorEastAsia"/>
                <w:sz w:val="24"/>
                <w:szCs w:val="21"/>
              </w:rPr>
            </w:pPr>
            <w:r>
              <w:rPr>
                <w:rFonts w:ascii="Times New Roman" w:hAnsi="Times New Roman" w:eastAsiaTheme="minorEastAsia"/>
                <w:sz w:val="24"/>
                <w:szCs w:val="21"/>
              </w:rPr>
              <w:t>6、《中华人民共和国环境影响评价法》（2018.12.29起实施）</w:t>
            </w:r>
          </w:p>
          <w:p>
            <w:pPr>
              <w:pStyle w:val="2"/>
              <w:spacing w:line="360" w:lineRule="auto"/>
              <w:jc w:val="both"/>
              <w:rPr>
                <w:rFonts w:ascii="Times New Roman" w:hAnsi="Times New Roman" w:eastAsiaTheme="minorEastAsia"/>
                <w:color w:val="auto"/>
                <w:szCs w:val="21"/>
              </w:rPr>
            </w:pPr>
            <w:r>
              <w:rPr>
                <w:rFonts w:ascii="Times New Roman" w:hAnsi="Times New Roman" w:eastAsiaTheme="minorEastAsia"/>
                <w:color w:val="auto"/>
                <w:szCs w:val="21"/>
              </w:rPr>
              <w:t>7、《建设项目环境保护管理条例》（中华人民共和国国务院令第682号，2017.10.01）</w:t>
            </w:r>
          </w:p>
          <w:p>
            <w:pPr>
              <w:spacing w:line="360" w:lineRule="auto"/>
              <w:jc w:val="left"/>
              <w:rPr>
                <w:rFonts w:ascii="Times New Roman" w:hAnsi="Times New Roman" w:eastAsiaTheme="minorEastAsia"/>
                <w:sz w:val="24"/>
                <w:szCs w:val="21"/>
              </w:rPr>
            </w:pPr>
            <w:r>
              <w:rPr>
                <w:rFonts w:ascii="Times New Roman" w:hAnsi="Times New Roman" w:eastAsiaTheme="minorEastAsia"/>
                <w:sz w:val="24"/>
                <w:szCs w:val="21"/>
              </w:rPr>
              <w:t>8、关于发布《建设项目竣工环境保护验收暂行办法》的公告（国环规环评[2017]4号）</w:t>
            </w:r>
          </w:p>
          <w:p>
            <w:pPr>
              <w:pStyle w:val="2"/>
              <w:spacing w:line="360" w:lineRule="auto"/>
              <w:jc w:val="both"/>
              <w:rPr>
                <w:rFonts w:ascii="Times New Roman" w:hAnsi="Times New Roman" w:eastAsiaTheme="minorEastAsia"/>
                <w:color w:val="auto"/>
                <w:szCs w:val="21"/>
              </w:rPr>
            </w:pPr>
            <w:r>
              <w:rPr>
                <w:rFonts w:ascii="Times New Roman" w:hAnsi="Times New Roman" w:eastAsiaTheme="minorEastAsia"/>
                <w:color w:val="auto"/>
                <w:szCs w:val="21"/>
              </w:rPr>
              <w:t>9、关于印发《黑龙江省环境保护厅关于建设项目环境保护设施验收的工作指引（试行）》的通知（黑龙江省环境保护厅，黑环函[2018]284号，2018.08.23）</w:t>
            </w:r>
          </w:p>
          <w:p>
            <w:pPr>
              <w:pStyle w:val="2"/>
              <w:spacing w:line="360" w:lineRule="auto"/>
              <w:jc w:val="both"/>
              <w:rPr>
                <w:rFonts w:ascii="Times New Roman" w:hAnsi="Times New Roman" w:eastAsiaTheme="minorEastAsia"/>
                <w:color w:val="auto"/>
                <w:szCs w:val="21"/>
              </w:rPr>
            </w:pPr>
            <w:r>
              <w:rPr>
                <w:rFonts w:ascii="Times New Roman" w:hAnsi="Times New Roman" w:eastAsiaTheme="minorEastAsia"/>
                <w:color w:val="auto"/>
                <w:szCs w:val="21"/>
              </w:rPr>
              <w:t>10、《污染影响类建设项目重大变动清单（试行）》的通知环办环评函〔2020〕688号</w:t>
            </w:r>
          </w:p>
          <w:p>
            <w:pPr>
              <w:adjustRightInd w:val="0"/>
              <w:spacing w:line="360" w:lineRule="auto"/>
              <w:rPr>
                <w:rFonts w:ascii="Times New Roman" w:hAnsi="Times New Roman" w:eastAsiaTheme="minorEastAsia"/>
                <w:sz w:val="24"/>
                <w:szCs w:val="21"/>
              </w:rPr>
            </w:pPr>
            <w:r>
              <w:rPr>
                <w:rFonts w:ascii="Times New Roman" w:hAnsi="Times New Roman" w:eastAsiaTheme="minorEastAsia"/>
                <w:sz w:val="24"/>
                <w:szCs w:val="21"/>
              </w:rPr>
              <w:t>11、《建设项目环境保护验收技术指南污染影响类》（公告2018年第9号，中华人民共和国生态环境部，2018.05.15）</w:t>
            </w:r>
          </w:p>
          <w:p>
            <w:pPr>
              <w:spacing w:line="360" w:lineRule="auto"/>
              <w:jc w:val="left"/>
              <w:rPr>
                <w:rFonts w:ascii="Times New Roman" w:hAnsi="Times New Roman" w:eastAsiaTheme="minorEastAsia"/>
                <w:sz w:val="24"/>
                <w:szCs w:val="21"/>
              </w:rPr>
            </w:pPr>
            <w:r>
              <w:rPr>
                <w:rFonts w:ascii="Times New Roman" w:hAnsi="Times New Roman" w:eastAsiaTheme="minorEastAsia"/>
                <w:sz w:val="24"/>
                <w:szCs w:val="21"/>
              </w:rPr>
              <w:t>12、《</w:t>
            </w:r>
            <w:r>
              <w:rPr>
                <w:rFonts w:ascii="Times New Roman" w:hAnsi="Times New Roman"/>
                <w:sz w:val="24"/>
              </w:rPr>
              <w:t>报废农业机械回收拆解项目</w:t>
            </w:r>
            <w:r>
              <w:rPr>
                <w:rFonts w:ascii="Times New Roman" w:hAnsi="Times New Roman" w:eastAsiaTheme="minorEastAsia"/>
                <w:sz w:val="24"/>
                <w:szCs w:val="21"/>
              </w:rPr>
              <w:t>环境影响报告表》（</w:t>
            </w:r>
            <w:r>
              <w:rPr>
                <w:rFonts w:ascii="Times New Roman" w:hAnsi="Times New Roman"/>
                <w:sz w:val="24"/>
              </w:rPr>
              <w:t>报废农业机械回收拆解项目</w:t>
            </w:r>
            <w:r>
              <w:rPr>
                <w:rFonts w:ascii="Times New Roman" w:hAnsi="Times New Roman" w:eastAsiaTheme="minorEastAsia"/>
                <w:sz w:val="24"/>
                <w:szCs w:val="21"/>
              </w:rPr>
              <w:t>，2022.12）</w:t>
            </w:r>
          </w:p>
          <w:p>
            <w:pPr>
              <w:spacing w:line="360" w:lineRule="auto"/>
              <w:jc w:val="left"/>
              <w:rPr>
                <w:rFonts w:ascii="Times New Roman" w:hAnsi="Times New Roman" w:eastAsiaTheme="minorEastAsia"/>
                <w:color w:val="FF0000"/>
                <w:sz w:val="24"/>
                <w:szCs w:val="21"/>
              </w:rPr>
            </w:pPr>
            <w:r>
              <w:rPr>
                <w:rFonts w:ascii="Times New Roman" w:hAnsi="Times New Roman" w:eastAsiaTheme="minorEastAsia"/>
                <w:sz w:val="24"/>
                <w:szCs w:val="21"/>
              </w:rPr>
              <w:t>13、</w:t>
            </w:r>
            <w:bookmarkStart w:id="2" w:name="_Hlk122275963"/>
            <w:r>
              <w:rPr>
                <w:rFonts w:ascii="Times New Roman" w:hAnsi="Times New Roman" w:eastAsiaTheme="minorEastAsia"/>
                <w:sz w:val="24"/>
                <w:szCs w:val="21"/>
              </w:rPr>
              <w:t>《关于</w:t>
            </w:r>
            <w:r>
              <w:rPr>
                <w:rFonts w:ascii="Times New Roman" w:hAnsi="Times New Roman"/>
                <w:sz w:val="24"/>
              </w:rPr>
              <w:t>报废农业机械回收拆解项目</w:t>
            </w:r>
            <w:r>
              <w:rPr>
                <w:rFonts w:ascii="Times New Roman" w:hAnsi="Times New Roman" w:eastAsiaTheme="minorEastAsia"/>
                <w:sz w:val="24"/>
                <w:szCs w:val="21"/>
              </w:rPr>
              <w:t>环境影响报告表的批复》（</w:t>
            </w:r>
            <w:bookmarkStart w:id="3" w:name="_Hlk122276042"/>
            <w:r>
              <w:rPr>
                <w:rFonts w:ascii="Times New Roman" w:hAnsi="Times New Roman" w:eastAsiaTheme="minorEastAsia"/>
                <w:sz w:val="24"/>
                <w:szCs w:val="21"/>
              </w:rPr>
              <w:t>佳木斯市桦川生态环境局</w:t>
            </w:r>
            <w:bookmarkEnd w:id="3"/>
            <w:r>
              <w:rPr>
                <w:rFonts w:ascii="Times New Roman" w:hAnsi="Times New Roman" w:eastAsiaTheme="minorEastAsia"/>
                <w:sz w:val="24"/>
                <w:szCs w:val="21"/>
              </w:rPr>
              <w:t xml:space="preserve"> 佳桦环建审〔2022)33号，2022.12.16）</w:t>
            </w:r>
            <w:bookmarkEnd w:id="2"/>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p>
            <w:pPr>
              <w:pStyle w:val="2"/>
              <w:spacing w:line="360" w:lineRule="auto"/>
              <w:jc w:val="both"/>
              <w:rPr>
                <w:rFonts w:ascii="Times New Roman" w:hAnsi="Times New Roman"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8" w:hRule="atLeast"/>
          <w:jc w:val="center"/>
        </w:trPr>
        <w:tc>
          <w:tcPr>
            <w:tcW w:w="1980" w:type="dxa"/>
            <w:vAlign w:val="center"/>
          </w:tcPr>
          <w:p>
            <w:pPr>
              <w:pStyle w:val="2"/>
              <w:spacing w:line="360" w:lineRule="auto"/>
              <w:jc w:val="center"/>
              <w:rPr>
                <w:rFonts w:ascii="Times New Roman" w:hAnsi="Times New Roman" w:eastAsiaTheme="minorEastAsia"/>
                <w:color w:val="FF0000"/>
                <w:sz w:val="21"/>
                <w:szCs w:val="21"/>
              </w:rPr>
            </w:pPr>
            <w:r>
              <w:rPr>
                <w:rFonts w:ascii="Times New Roman" w:hAnsi="Times New Roman" w:eastAsiaTheme="minorEastAsia"/>
                <w:color w:val="auto"/>
                <w:sz w:val="21"/>
                <w:szCs w:val="21"/>
              </w:rPr>
              <w:t>验收监测评价标准、标号、级别、限值</w:t>
            </w:r>
          </w:p>
        </w:tc>
        <w:tc>
          <w:tcPr>
            <w:tcW w:w="7041" w:type="dxa"/>
            <w:gridSpan w:val="5"/>
            <w:vAlign w:val="center"/>
          </w:tcPr>
          <w:p>
            <w:pPr>
              <w:spacing w:line="360" w:lineRule="auto"/>
              <w:ind w:firstLine="482" w:firstLineChars="200"/>
              <w:jc w:val="left"/>
              <w:outlineLvl w:val="1"/>
              <w:rPr>
                <w:rFonts w:ascii="Times New Roman" w:hAnsi="Times New Roman" w:eastAsiaTheme="minorEastAsia"/>
                <w:b/>
                <w:bCs/>
                <w:sz w:val="24"/>
                <w:szCs w:val="21"/>
              </w:rPr>
            </w:pPr>
            <w:bookmarkStart w:id="4" w:name="_Toc24806"/>
            <w:bookmarkStart w:id="5" w:name="_Toc554"/>
            <w:bookmarkStart w:id="6" w:name="_Toc386034873"/>
            <w:bookmarkStart w:id="7" w:name="_Toc18041"/>
            <w:bookmarkStart w:id="8" w:name="_Toc113675803"/>
            <w:bookmarkStart w:id="9" w:name="_Toc145923953"/>
            <w:bookmarkStart w:id="10" w:name="_Toc117141400"/>
            <w:bookmarkStart w:id="11" w:name="_Toc11410"/>
            <w:bookmarkStart w:id="12" w:name="_Toc11451"/>
            <w:bookmarkStart w:id="13" w:name="_Toc11902"/>
            <w:bookmarkStart w:id="14" w:name="_Toc114640575"/>
            <w:bookmarkStart w:id="15" w:name="_Toc113674646"/>
            <w:bookmarkStart w:id="16" w:name="_Toc295467204"/>
            <w:bookmarkStart w:id="17" w:name="_Toc408488935"/>
            <w:bookmarkStart w:id="18" w:name="_Toc19336"/>
            <w:bookmarkStart w:id="19" w:name="_Toc12655"/>
            <w:bookmarkStart w:id="20" w:name="_Toc48"/>
            <w:bookmarkStart w:id="21" w:name="_Toc22843"/>
            <w:bookmarkStart w:id="22" w:name="_Toc336502632"/>
            <w:bookmarkStart w:id="23" w:name="_Toc145901436"/>
            <w:bookmarkStart w:id="24" w:name="_Toc69"/>
            <w:bookmarkStart w:id="25" w:name="_Toc116952701"/>
            <w:bookmarkStart w:id="26" w:name="_Toc143657495"/>
            <w:bookmarkStart w:id="27" w:name="_Toc5652"/>
            <w:r>
              <w:rPr>
                <w:rFonts w:ascii="Times New Roman" w:hAnsi="Times New Roman" w:eastAsiaTheme="minorEastAsia"/>
                <w:b/>
                <w:bCs/>
                <w:sz w:val="24"/>
                <w:szCs w:val="21"/>
              </w:rPr>
              <w:t>一、废气验收执行标准</w:t>
            </w:r>
          </w:p>
          <w:p>
            <w:pPr>
              <w:spacing w:line="360" w:lineRule="auto"/>
              <w:ind w:firstLine="480" w:firstLineChars="200"/>
              <w:outlineLvl w:val="1"/>
              <w:rPr>
                <w:rFonts w:ascii="Times New Roman" w:hAnsi="Times New Roman" w:eastAsiaTheme="minorEastAsia"/>
                <w:bCs/>
                <w:sz w:val="24"/>
                <w:szCs w:val="21"/>
              </w:rPr>
            </w:pPr>
            <w:r>
              <w:rPr>
                <w:rFonts w:ascii="Times New Roman" w:hAnsi="Times New Roman"/>
                <w:bCs/>
                <w:sz w:val="24"/>
                <w:szCs w:val="21"/>
              </w:rPr>
              <w:t>本项目颗粒物执行《大气污染物综合排放标准》（GB16297-1996）表2排放限值要求，厂区内厂房外有机废气执行《挥发性有机物无组织排放控制标准》（GB37822-2019）附录A中厂区内VOCs无组织排放监控要求</w:t>
            </w:r>
            <w:r>
              <w:rPr>
                <w:rFonts w:ascii="Times New Roman" w:hAnsi="Times New Roman" w:eastAsiaTheme="minorEastAsia"/>
                <w:bCs/>
                <w:sz w:val="24"/>
                <w:szCs w:val="21"/>
              </w:rPr>
              <w:t>。</w:t>
            </w:r>
          </w:p>
          <w:p>
            <w:pPr>
              <w:spacing w:line="360" w:lineRule="auto"/>
              <w:jc w:val="center"/>
              <w:rPr>
                <w:rFonts w:ascii="Times New Roman" w:hAnsi="Times New Roman" w:eastAsiaTheme="minorEastAsia"/>
                <w:b/>
                <w:bCs/>
                <w:szCs w:val="21"/>
              </w:rPr>
            </w:pPr>
            <w:r>
              <w:rPr>
                <w:rFonts w:ascii="Times New Roman" w:hAnsi="Times New Roman" w:eastAsiaTheme="minorEastAsia"/>
                <w:b/>
                <w:bCs/>
                <w:szCs w:val="21"/>
              </w:rPr>
              <w:t>表1-1厂区外大气污染物排放标准</w:t>
            </w:r>
          </w:p>
          <w:tbl>
            <w:tblPr>
              <w:tblStyle w:val="21"/>
              <w:tblpPr w:leftFromText="180" w:rightFromText="180" w:vertAnchor="text" w:horzAnchor="page" w:tblpXSpec="center" w:tblpY="10"/>
              <w:tblOverlap w:val="never"/>
              <w:tblW w:w="695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006"/>
              <w:gridCol w:w="995"/>
              <w:gridCol w:w="888"/>
              <w:gridCol w:w="986"/>
              <w:gridCol w:w="565"/>
              <w:gridCol w:w="16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94" w:type="dxa"/>
                  <w:vMerge w:val="restar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污染物</w:t>
                  </w:r>
                </w:p>
              </w:tc>
              <w:tc>
                <w:tcPr>
                  <w:tcW w:w="3008" w:type="dxa"/>
                  <w:gridSpan w:val="3"/>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有组织监控浓度</w:t>
                  </w:r>
                </w:p>
              </w:tc>
              <w:tc>
                <w:tcPr>
                  <w:tcW w:w="1580" w:type="dxa"/>
                  <w:gridSpan w:val="2"/>
                  <w:vMerge w:val="restar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无组织监控浓度限值（mg/m</w:t>
                  </w:r>
                  <w:r>
                    <w:rPr>
                      <w:rFonts w:ascii="Times New Roman" w:hAnsi="Times New Roman" w:eastAsiaTheme="minorEastAsia"/>
                      <w:snapToGrid w:val="0"/>
                      <w:kern w:val="0"/>
                      <w:szCs w:val="21"/>
                      <w:vertAlign w:val="superscript"/>
                    </w:rPr>
                    <w:t>3</w:t>
                  </w:r>
                  <w:r>
                    <w:rPr>
                      <w:rFonts w:ascii="Times New Roman" w:hAnsi="Times New Roman" w:eastAsiaTheme="minorEastAsia"/>
                      <w:snapToGrid w:val="0"/>
                      <w:kern w:val="0"/>
                      <w:szCs w:val="21"/>
                    </w:rPr>
                    <w:t>）</w:t>
                  </w:r>
                </w:p>
              </w:tc>
              <w:tc>
                <w:tcPr>
                  <w:tcW w:w="1568" w:type="dxa"/>
                  <w:vMerge w:val="restar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94" w:type="dxa"/>
                  <w:vMerge w:val="continue"/>
                  <w:vAlign w:val="center"/>
                </w:tcPr>
                <w:p>
                  <w:pPr>
                    <w:adjustRightInd w:val="0"/>
                    <w:snapToGrid w:val="0"/>
                    <w:jc w:val="center"/>
                    <w:rPr>
                      <w:rFonts w:ascii="Times New Roman" w:hAnsi="Times New Roman" w:eastAsiaTheme="minorEastAsia"/>
                      <w:snapToGrid w:val="0"/>
                      <w:kern w:val="0"/>
                      <w:szCs w:val="21"/>
                    </w:rPr>
                  </w:pPr>
                </w:p>
              </w:tc>
              <w:tc>
                <w:tcPr>
                  <w:tcW w:w="1045"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最高允许排放浓度</w:t>
                  </w:r>
                </w:p>
              </w:tc>
              <w:tc>
                <w:tcPr>
                  <w:tcW w:w="1042"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排气筒高度</w:t>
                  </w:r>
                </w:p>
              </w:tc>
              <w:tc>
                <w:tcPr>
                  <w:tcW w:w="920"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最高允许排放速率</w:t>
                  </w:r>
                </w:p>
              </w:tc>
              <w:tc>
                <w:tcPr>
                  <w:tcW w:w="1580" w:type="dxa"/>
                  <w:gridSpan w:val="2"/>
                  <w:vMerge w:val="continue"/>
                  <w:vAlign w:val="center"/>
                </w:tcPr>
                <w:p>
                  <w:pPr>
                    <w:adjustRightInd w:val="0"/>
                    <w:snapToGrid w:val="0"/>
                    <w:jc w:val="center"/>
                    <w:rPr>
                      <w:rFonts w:ascii="Times New Roman" w:hAnsi="Times New Roman" w:eastAsiaTheme="minorEastAsia"/>
                      <w:snapToGrid w:val="0"/>
                      <w:kern w:val="0"/>
                      <w:szCs w:val="21"/>
                    </w:rPr>
                  </w:pPr>
                </w:p>
              </w:tc>
              <w:tc>
                <w:tcPr>
                  <w:tcW w:w="1568" w:type="dxa"/>
                  <w:vMerge w:val="continue"/>
                  <w:vAlign w:val="center"/>
                </w:tcPr>
                <w:p>
                  <w:pPr>
                    <w:adjustRightInd w:val="0"/>
                    <w:snapToGrid w:val="0"/>
                    <w:jc w:val="center"/>
                    <w:rPr>
                      <w:rFonts w:ascii="Times New Roman" w:hAnsi="Times New Roman" w:eastAsiaTheme="minorEastAsia"/>
                      <w:snapToGrid w:val="0"/>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4"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颗粒物</w:t>
                  </w:r>
                </w:p>
              </w:tc>
              <w:tc>
                <w:tcPr>
                  <w:tcW w:w="1045"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120</w:t>
                  </w:r>
                </w:p>
              </w:tc>
              <w:tc>
                <w:tcPr>
                  <w:tcW w:w="1042"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15</w:t>
                  </w:r>
                </w:p>
              </w:tc>
              <w:tc>
                <w:tcPr>
                  <w:tcW w:w="920"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3.5</w:t>
                  </w:r>
                </w:p>
              </w:tc>
              <w:tc>
                <w:tcPr>
                  <w:tcW w:w="1015"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周界外浓度最高点</w:t>
                  </w:r>
                </w:p>
              </w:tc>
              <w:tc>
                <w:tcPr>
                  <w:tcW w:w="564"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1.0</w:t>
                  </w:r>
                </w:p>
              </w:tc>
              <w:tc>
                <w:tcPr>
                  <w:tcW w:w="1568" w:type="dxa"/>
                  <w:vMerge w:val="restar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《大气污染物综合排放标准》(GB16297-1996)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4"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NMHC</w:t>
                  </w:r>
                </w:p>
              </w:tc>
              <w:tc>
                <w:tcPr>
                  <w:tcW w:w="1045"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120</w:t>
                  </w:r>
                </w:p>
              </w:tc>
              <w:tc>
                <w:tcPr>
                  <w:tcW w:w="1042"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15</w:t>
                  </w:r>
                </w:p>
              </w:tc>
              <w:tc>
                <w:tcPr>
                  <w:tcW w:w="920"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3.5</w:t>
                  </w:r>
                </w:p>
              </w:tc>
              <w:tc>
                <w:tcPr>
                  <w:tcW w:w="1015"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周界外浓度最高点</w:t>
                  </w:r>
                </w:p>
              </w:tc>
              <w:tc>
                <w:tcPr>
                  <w:tcW w:w="564" w:type="dxa"/>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4.0</w:t>
                  </w:r>
                </w:p>
              </w:tc>
              <w:tc>
                <w:tcPr>
                  <w:tcW w:w="1568" w:type="dxa"/>
                  <w:vMerge w:val="continue"/>
                  <w:vAlign w:val="center"/>
                </w:tcPr>
                <w:p>
                  <w:pPr>
                    <w:adjustRightInd w:val="0"/>
                    <w:snapToGrid w:val="0"/>
                    <w:jc w:val="center"/>
                    <w:rPr>
                      <w:rFonts w:ascii="Times New Roman" w:hAnsi="Times New Roman" w:eastAsiaTheme="minorEastAsia"/>
                      <w:snapToGrid w:val="0"/>
                      <w:kern w:val="0"/>
                      <w:szCs w:val="21"/>
                    </w:rPr>
                  </w:pPr>
                </w:p>
              </w:tc>
            </w:tr>
          </w:tbl>
          <w:p>
            <w:pPr>
              <w:spacing w:line="360" w:lineRule="auto"/>
              <w:jc w:val="center"/>
              <w:rPr>
                <w:rFonts w:ascii="Times New Roman" w:hAnsi="Times New Roman" w:eastAsiaTheme="minorEastAsia"/>
                <w:b/>
                <w:bCs/>
                <w:szCs w:val="21"/>
              </w:rPr>
            </w:pPr>
            <w:r>
              <w:rPr>
                <w:rFonts w:ascii="Times New Roman" w:hAnsi="Times New Roman" w:eastAsiaTheme="minorEastAsia"/>
                <w:b/>
                <w:bCs/>
                <w:szCs w:val="21"/>
              </w:rPr>
              <w:t>表1-2厂区内VOCs无组织排放监控要求</w:t>
            </w:r>
          </w:p>
          <w:tbl>
            <w:tblPr>
              <w:tblStyle w:val="21"/>
              <w:tblW w:w="499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1193"/>
              <w:gridCol w:w="1400"/>
              <w:gridCol w:w="1622"/>
              <w:gridCol w:w="194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57"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污染物项目</w:t>
                  </w:r>
                </w:p>
              </w:tc>
              <w:tc>
                <w:tcPr>
                  <w:tcW w:w="890"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排放限值</w:t>
                  </w:r>
                </w:p>
              </w:tc>
              <w:tc>
                <w:tcPr>
                  <w:tcW w:w="1035"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限值含义</w:t>
                  </w:r>
                </w:p>
              </w:tc>
              <w:tc>
                <w:tcPr>
                  <w:tcW w:w="1190"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无组织排放监控位置</w:t>
                  </w:r>
                </w:p>
              </w:tc>
              <w:tc>
                <w:tcPr>
                  <w:tcW w:w="1129"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标准来源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57" w:type="pct"/>
                  <w:vMerge w:val="restar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NMHC</w:t>
                  </w:r>
                </w:p>
              </w:tc>
              <w:tc>
                <w:tcPr>
                  <w:tcW w:w="890"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10</w:t>
                  </w:r>
                </w:p>
              </w:tc>
              <w:tc>
                <w:tcPr>
                  <w:tcW w:w="1035"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监控点处1h平均浓度值</w:t>
                  </w:r>
                </w:p>
              </w:tc>
              <w:tc>
                <w:tcPr>
                  <w:tcW w:w="1190" w:type="pct"/>
                  <w:vMerge w:val="restar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在厂房外设置监控点</w:t>
                  </w:r>
                </w:p>
              </w:tc>
              <w:tc>
                <w:tcPr>
                  <w:tcW w:w="1129" w:type="pct"/>
                  <w:vMerge w:val="restar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《挥发性有机物无组织排放控制标准》（GB37822-2019）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57" w:type="pct"/>
                  <w:vMerge w:val="continue"/>
                  <w:vAlign w:val="center"/>
                </w:tcPr>
                <w:p>
                  <w:pPr>
                    <w:adjustRightInd w:val="0"/>
                    <w:snapToGrid w:val="0"/>
                    <w:jc w:val="center"/>
                    <w:rPr>
                      <w:rFonts w:ascii="Times New Roman" w:hAnsi="Times New Roman" w:eastAsiaTheme="minorEastAsia"/>
                      <w:snapToGrid w:val="0"/>
                      <w:kern w:val="0"/>
                      <w:szCs w:val="21"/>
                    </w:rPr>
                  </w:pPr>
                </w:p>
              </w:tc>
              <w:tc>
                <w:tcPr>
                  <w:tcW w:w="890"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30</w:t>
                  </w:r>
                </w:p>
              </w:tc>
              <w:tc>
                <w:tcPr>
                  <w:tcW w:w="1035"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监控点处任意一次浓度值</w:t>
                  </w:r>
                </w:p>
              </w:tc>
              <w:tc>
                <w:tcPr>
                  <w:tcW w:w="1190" w:type="pct"/>
                  <w:vMerge w:val="continue"/>
                  <w:vAlign w:val="center"/>
                </w:tcPr>
                <w:p>
                  <w:pPr>
                    <w:jc w:val="center"/>
                    <w:rPr>
                      <w:rFonts w:ascii="Times New Roman" w:hAnsi="Times New Roman"/>
                      <w:sz w:val="22"/>
                      <w:szCs w:val="22"/>
                    </w:rPr>
                  </w:pPr>
                </w:p>
              </w:tc>
              <w:tc>
                <w:tcPr>
                  <w:tcW w:w="1129" w:type="pct"/>
                  <w:vMerge w:val="continue"/>
                  <w:vAlign w:val="center"/>
                </w:tcPr>
                <w:p>
                  <w:pPr>
                    <w:jc w:val="center"/>
                    <w:rPr>
                      <w:rFonts w:ascii="Times New Roman" w:hAnsi="Times New Roman"/>
                      <w:sz w:val="22"/>
                      <w:szCs w:val="22"/>
                    </w:rPr>
                  </w:pPr>
                </w:p>
              </w:tc>
            </w:tr>
          </w:tbl>
          <w:p>
            <w:pPr>
              <w:spacing w:line="360" w:lineRule="auto"/>
              <w:ind w:firstLine="482" w:firstLineChars="200"/>
              <w:jc w:val="left"/>
              <w:outlineLvl w:val="1"/>
              <w:rPr>
                <w:rFonts w:ascii="Times New Roman" w:hAnsi="Times New Roman" w:eastAsiaTheme="minorEastAsia"/>
                <w:b/>
                <w:bCs/>
                <w:sz w:val="24"/>
                <w:szCs w:val="21"/>
              </w:rPr>
            </w:pPr>
            <w:r>
              <w:rPr>
                <w:rFonts w:ascii="Times New Roman" w:hAnsi="Times New Roman" w:eastAsiaTheme="minorEastAsia"/>
                <w:b/>
                <w:bCs/>
                <w:sz w:val="24"/>
                <w:szCs w:val="21"/>
              </w:rPr>
              <w:t>二、噪声验收执行标准</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spacing w:line="360" w:lineRule="auto"/>
              <w:ind w:firstLine="480" w:firstLineChars="200"/>
              <w:jc w:val="left"/>
              <w:rPr>
                <w:rFonts w:ascii="Times New Roman" w:hAnsi="Times New Roman" w:eastAsiaTheme="minorEastAsia"/>
                <w:b/>
                <w:bCs/>
                <w:sz w:val="24"/>
                <w:szCs w:val="21"/>
              </w:rPr>
            </w:pPr>
            <w:r>
              <w:rPr>
                <w:rFonts w:ascii="Times New Roman" w:hAnsi="Times New Roman" w:eastAsiaTheme="minorEastAsia"/>
                <w:sz w:val="24"/>
                <w:szCs w:val="21"/>
              </w:rPr>
              <w:t>厂界西侧厂界噪声排放执行《工业企业厂界环境噪声排放标准》（GB12348-2008）中的4a类标准，东侧、南侧、北侧厂界噪声排放执行《工业企业厂界环境噪声排放标准》（GB12348-2008）中的3类标准。噪声验收执行标准见表1-3。</w:t>
            </w:r>
          </w:p>
          <w:p>
            <w:pPr>
              <w:spacing w:line="360" w:lineRule="auto"/>
              <w:jc w:val="center"/>
              <w:rPr>
                <w:rFonts w:ascii="Times New Roman" w:hAnsi="Times New Roman" w:eastAsiaTheme="minorEastAsia"/>
                <w:b/>
                <w:bCs/>
                <w:szCs w:val="21"/>
              </w:rPr>
            </w:pPr>
            <w:r>
              <w:rPr>
                <w:rFonts w:ascii="Times New Roman" w:hAnsi="Times New Roman" w:eastAsiaTheme="minorEastAsia"/>
                <w:b/>
                <w:bCs/>
                <w:szCs w:val="21"/>
              </w:rPr>
              <w:t>表1-3噪声验收执行标准</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2170"/>
              <w:gridCol w:w="921"/>
              <w:gridCol w:w="1007"/>
              <w:gridCol w:w="1072"/>
              <w:gridCol w:w="11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09" w:type="pct"/>
                  <w:vMerge w:val="restart"/>
                  <w:tcBorders>
                    <w:top w:val="single" w:color="auto" w:sz="12" w:space="0"/>
                    <w:left w:val="nil"/>
                    <w:bottom w:val="single" w:color="auto" w:sz="4" w:space="0"/>
                    <w:right w:val="single" w:color="auto" w:sz="4" w:space="0"/>
                  </w:tcBorders>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时段</w:t>
                  </w:r>
                </w:p>
              </w:tc>
              <w:tc>
                <w:tcPr>
                  <w:tcW w:w="1512" w:type="pct"/>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声源类型</w:t>
                  </w:r>
                </w:p>
              </w:tc>
              <w:tc>
                <w:tcPr>
                  <w:tcW w:w="2879" w:type="pct"/>
                  <w:gridSpan w:val="4"/>
                  <w:tcBorders>
                    <w:top w:val="single" w:color="auto" w:sz="12" w:space="0"/>
                    <w:left w:val="single" w:color="auto" w:sz="4" w:space="0"/>
                    <w:bottom w:val="single" w:color="auto" w:sz="4" w:space="0"/>
                    <w:right w:val="nil"/>
                  </w:tcBorders>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609" w:type="pct"/>
                  <w:vMerge w:val="continue"/>
                  <w:tcBorders>
                    <w:top w:val="single" w:color="auto" w:sz="12" w:space="0"/>
                    <w:left w:val="nil"/>
                    <w:bottom w:val="single" w:color="auto" w:sz="4" w:space="0"/>
                    <w:right w:val="single" w:color="auto" w:sz="4" w:space="0"/>
                  </w:tcBorders>
                  <w:vAlign w:val="center"/>
                </w:tcPr>
                <w:p>
                  <w:pPr>
                    <w:widowControl/>
                    <w:jc w:val="left"/>
                    <w:rPr>
                      <w:rFonts w:ascii="Times New Roman" w:hAnsi="Times New Roman" w:eastAsiaTheme="minorEastAsia"/>
                      <w:snapToGrid w:val="0"/>
                      <w:kern w:val="0"/>
                      <w:szCs w:val="21"/>
                    </w:rPr>
                  </w:pPr>
                </w:p>
              </w:tc>
              <w:tc>
                <w:tcPr>
                  <w:tcW w:w="1512" w:type="pct"/>
                  <w:vMerge w:val="continue"/>
                  <w:tcBorders>
                    <w:top w:val="single" w:color="auto" w:sz="12" w:space="0"/>
                    <w:left w:val="single" w:color="auto" w:sz="4" w:space="0"/>
                    <w:bottom w:val="single" w:color="auto" w:sz="4" w:space="0"/>
                    <w:right w:val="single" w:color="auto" w:sz="4" w:space="0"/>
                  </w:tcBorders>
                  <w:vAlign w:val="center"/>
                </w:tcPr>
                <w:p>
                  <w:pPr>
                    <w:widowControl/>
                    <w:jc w:val="left"/>
                    <w:rPr>
                      <w:rFonts w:ascii="Times New Roman" w:hAnsi="Times New Roman" w:eastAsiaTheme="minorEastAsia"/>
                      <w:snapToGrid w:val="0"/>
                      <w:kern w:val="0"/>
                      <w:szCs w:val="21"/>
                    </w:rPr>
                  </w:pPr>
                </w:p>
              </w:tc>
              <w:tc>
                <w:tcPr>
                  <w:tcW w:w="1344"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昼间</w:t>
                  </w:r>
                </w:p>
              </w:tc>
              <w:tc>
                <w:tcPr>
                  <w:tcW w:w="1535" w:type="pct"/>
                  <w:gridSpan w:val="2"/>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609" w:type="pct"/>
                  <w:vMerge w:val="restart"/>
                  <w:tcBorders>
                    <w:top w:val="single" w:color="auto" w:sz="4" w:space="0"/>
                    <w:left w:val="nil"/>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运营期</w:t>
                  </w:r>
                </w:p>
              </w:tc>
              <w:tc>
                <w:tcPr>
                  <w:tcW w:w="151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东、南、北侧厂界噪声</w:t>
                  </w:r>
                </w:p>
              </w:tc>
              <w:tc>
                <w:tcPr>
                  <w:tcW w:w="6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3类</w:t>
                  </w:r>
                </w:p>
              </w:tc>
              <w:tc>
                <w:tcPr>
                  <w:tcW w:w="7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65</w:t>
                  </w:r>
                </w:p>
              </w:tc>
              <w:tc>
                <w:tcPr>
                  <w:tcW w:w="74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2类</w:t>
                  </w:r>
                </w:p>
              </w:tc>
              <w:tc>
                <w:tcPr>
                  <w:tcW w:w="789"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609" w:type="pct"/>
                  <w:vMerge w:val="continue"/>
                  <w:tcBorders>
                    <w:left w:val="nil"/>
                    <w:bottom w:val="single" w:color="auto" w:sz="12" w:space="0"/>
                    <w:right w:val="single" w:color="auto" w:sz="4" w:space="0"/>
                  </w:tcBorders>
                  <w:vAlign w:val="center"/>
                </w:tcPr>
                <w:p>
                  <w:pPr>
                    <w:jc w:val="center"/>
                    <w:rPr>
                      <w:rFonts w:ascii="Times New Roman" w:hAnsi="Times New Roman" w:eastAsiaTheme="minorEastAsia"/>
                      <w:szCs w:val="21"/>
                    </w:rPr>
                  </w:pPr>
                </w:p>
              </w:tc>
              <w:tc>
                <w:tcPr>
                  <w:tcW w:w="1512" w:type="pct"/>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西侧厂界噪声</w:t>
                  </w:r>
                </w:p>
              </w:tc>
              <w:tc>
                <w:tcPr>
                  <w:tcW w:w="642" w:type="pct"/>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4类</w:t>
                  </w:r>
                </w:p>
              </w:tc>
              <w:tc>
                <w:tcPr>
                  <w:tcW w:w="702" w:type="pct"/>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70</w:t>
                  </w:r>
                </w:p>
              </w:tc>
              <w:tc>
                <w:tcPr>
                  <w:tcW w:w="747" w:type="pct"/>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4类</w:t>
                  </w:r>
                </w:p>
              </w:tc>
              <w:tc>
                <w:tcPr>
                  <w:tcW w:w="789" w:type="pct"/>
                  <w:tcBorders>
                    <w:top w:val="single" w:color="auto" w:sz="4" w:space="0"/>
                    <w:left w:val="single" w:color="auto" w:sz="4" w:space="0"/>
                    <w:bottom w:val="single" w:color="auto" w:sz="12" w:space="0"/>
                    <w:right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55</w:t>
                  </w:r>
                </w:p>
              </w:tc>
            </w:tr>
          </w:tbl>
          <w:p>
            <w:pPr>
              <w:spacing w:line="360" w:lineRule="auto"/>
              <w:ind w:firstLine="482" w:firstLineChars="200"/>
              <w:jc w:val="left"/>
              <w:outlineLvl w:val="1"/>
              <w:rPr>
                <w:rFonts w:ascii="Times New Roman" w:hAnsi="Times New Roman" w:eastAsiaTheme="minorEastAsia"/>
                <w:b/>
                <w:bCs/>
                <w:sz w:val="24"/>
                <w:szCs w:val="21"/>
              </w:rPr>
            </w:pPr>
            <w:r>
              <w:rPr>
                <w:rFonts w:ascii="Times New Roman" w:hAnsi="Times New Roman" w:eastAsiaTheme="minorEastAsia"/>
                <w:b/>
                <w:bCs/>
                <w:sz w:val="24"/>
                <w:szCs w:val="21"/>
              </w:rPr>
              <w:t>三、废水验收执行标准</w:t>
            </w:r>
          </w:p>
          <w:p>
            <w:pPr>
              <w:pStyle w:val="29"/>
              <w:rPr>
                <w:rFonts w:ascii="Times New Roman" w:hAnsi="Times New Roman" w:eastAsiaTheme="minorEastAsia"/>
              </w:rPr>
            </w:pPr>
            <w:r>
              <w:rPr>
                <w:rFonts w:ascii="Times New Roman" w:hAnsi="Times New Roman" w:eastAsiaTheme="minorEastAsia"/>
              </w:rPr>
              <w:t>运营期废水排放执行《污水综合排放标准》（GB8979-1996）中的三级标准。</w:t>
            </w:r>
          </w:p>
          <w:p>
            <w:pPr>
              <w:spacing w:line="360" w:lineRule="auto"/>
              <w:jc w:val="center"/>
              <w:rPr>
                <w:rFonts w:ascii="Times New Roman" w:hAnsi="Times New Roman" w:eastAsiaTheme="minorEastAsia"/>
                <w:b/>
                <w:bCs/>
                <w:szCs w:val="21"/>
              </w:rPr>
            </w:pPr>
            <w:r>
              <w:rPr>
                <w:rFonts w:ascii="Times New Roman" w:hAnsi="Times New Roman" w:eastAsiaTheme="minorEastAsia"/>
                <w:b/>
                <w:bCs/>
                <w:szCs w:val="21"/>
              </w:rPr>
              <w:t>表1-4废水验收执行标准</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438"/>
              <w:gridCol w:w="1432"/>
              <w:gridCol w:w="1432"/>
              <w:gridCol w:w="14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1011" w:type="pct"/>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污染物名称</w:t>
                  </w:r>
                </w:p>
              </w:tc>
              <w:tc>
                <w:tcPr>
                  <w:tcW w:w="1002" w:type="pct"/>
                  <w:vAlign w:val="center"/>
                </w:tcPr>
                <w:p>
                  <w:pPr>
                    <w:pStyle w:val="65"/>
                  </w:pPr>
                  <w:r>
                    <w:t>pH</w:t>
                  </w:r>
                </w:p>
              </w:tc>
              <w:tc>
                <w:tcPr>
                  <w:tcW w:w="998" w:type="pct"/>
                  <w:vAlign w:val="center"/>
                </w:tcPr>
                <w:p>
                  <w:pPr>
                    <w:pStyle w:val="65"/>
                  </w:pPr>
                  <w:r>
                    <w:t>SS</w:t>
                  </w:r>
                </w:p>
              </w:tc>
              <w:tc>
                <w:tcPr>
                  <w:tcW w:w="998" w:type="pct"/>
                  <w:vAlign w:val="center"/>
                </w:tcPr>
                <w:p>
                  <w:pPr>
                    <w:pStyle w:val="65"/>
                  </w:pPr>
                  <w:r>
                    <w:t>COD</w:t>
                  </w:r>
                </w:p>
              </w:tc>
              <w:tc>
                <w:tcPr>
                  <w:tcW w:w="992" w:type="pct"/>
                  <w:vAlign w:val="center"/>
                </w:tcPr>
                <w:p>
                  <w:pPr>
                    <w:pStyle w:val="65"/>
                  </w:pPr>
                  <w:r>
                    <w:t>BOD</w:t>
                  </w:r>
                  <w:r>
                    <w:rPr>
                      <w:vertAlign w:val="subscript"/>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3" w:hRule="atLeast"/>
                <w:jc w:val="center"/>
              </w:trPr>
              <w:tc>
                <w:tcPr>
                  <w:tcW w:w="1011" w:type="pct"/>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三级标准</w:t>
                  </w:r>
                </w:p>
              </w:tc>
              <w:tc>
                <w:tcPr>
                  <w:tcW w:w="1002" w:type="pct"/>
                  <w:vAlign w:val="center"/>
                </w:tcPr>
                <w:p>
                  <w:pPr>
                    <w:pStyle w:val="65"/>
                  </w:pPr>
                  <w:r>
                    <w:t>6~9</w:t>
                  </w:r>
                </w:p>
              </w:tc>
              <w:tc>
                <w:tcPr>
                  <w:tcW w:w="998" w:type="pct"/>
                  <w:vAlign w:val="center"/>
                </w:tcPr>
                <w:p>
                  <w:pPr>
                    <w:pStyle w:val="65"/>
                  </w:pPr>
                  <w:r>
                    <w:t>400</w:t>
                  </w:r>
                </w:p>
              </w:tc>
              <w:tc>
                <w:tcPr>
                  <w:tcW w:w="998" w:type="pct"/>
                  <w:vAlign w:val="center"/>
                </w:tcPr>
                <w:p>
                  <w:pPr>
                    <w:pStyle w:val="65"/>
                  </w:pPr>
                  <w:r>
                    <w:t>500</w:t>
                  </w:r>
                </w:p>
              </w:tc>
              <w:tc>
                <w:tcPr>
                  <w:tcW w:w="992" w:type="pct"/>
                  <w:vAlign w:val="center"/>
                </w:tcPr>
                <w:p>
                  <w:pPr>
                    <w:pStyle w:val="65"/>
                  </w:pPr>
                  <w:r>
                    <w:t>300</w:t>
                  </w:r>
                </w:p>
              </w:tc>
            </w:tr>
          </w:tbl>
          <w:p>
            <w:pPr>
              <w:spacing w:line="360" w:lineRule="auto"/>
              <w:ind w:firstLine="482" w:firstLineChars="200"/>
              <w:jc w:val="left"/>
              <w:outlineLvl w:val="1"/>
              <w:rPr>
                <w:rFonts w:ascii="Times New Roman" w:hAnsi="Times New Roman" w:eastAsiaTheme="minorEastAsia"/>
                <w:b/>
                <w:bCs/>
                <w:sz w:val="24"/>
                <w:szCs w:val="21"/>
              </w:rPr>
            </w:pPr>
            <w:r>
              <w:rPr>
                <w:rFonts w:ascii="Times New Roman" w:hAnsi="Times New Roman" w:eastAsiaTheme="minorEastAsia"/>
                <w:b/>
                <w:bCs/>
                <w:sz w:val="24"/>
                <w:szCs w:val="21"/>
              </w:rPr>
              <w:t>四、固体废物</w:t>
            </w:r>
          </w:p>
          <w:p>
            <w:pPr>
              <w:keepNext/>
              <w:keepLines/>
              <w:spacing w:line="360" w:lineRule="auto"/>
              <w:ind w:firstLine="480"/>
              <w:rPr>
                <w:rFonts w:ascii="Times New Roman" w:hAnsi="Times New Roman" w:eastAsiaTheme="minorEastAsia"/>
                <w:sz w:val="24"/>
                <w:szCs w:val="21"/>
              </w:rPr>
            </w:pPr>
            <w:r>
              <w:rPr>
                <w:rFonts w:ascii="Times New Roman" w:hAnsi="Times New Roman" w:eastAsiaTheme="minorEastAsia"/>
                <w:sz w:val="24"/>
                <w:szCs w:val="21"/>
              </w:rPr>
              <w:t>固体废弃物执行《一般工业固体废物贮存和填埋污染控制标准》（GB18599-2020）。危险废物执行《危险废物贮存污染控制标准》（GB18597-2001）及其2013修改单要求。</w:t>
            </w:r>
          </w:p>
          <w:p>
            <w:pPr>
              <w:spacing w:line="360" w:lineRule="auto"/>
              <w:ind w:firstLine="482" w:firstLineChars="200"/>
              <w:jc w:val="left"/>
              <w:outlineLvl w:val="1"/>
              <w:rPr>
                <w:rFonts w:ascii="Times New Roman" w:hAnsi="Times New Roman" w:eastAsiaTheme="minorEastAsia"/>
                <w:b/>
                <w:bCs/>
                <w:sz w:val="24"/>
                <w:szCs w:val="21"/>
              </w:rPr>
            </w:pPr>
            <w:r>
              <w:rPr>
                <w:rFonts w:ascii="Times New Roman" w:hAnsi="Times New Roman" w:eastAsiaTheme="minorEastAsia"/>
                <w:b/>
                <w:bCs/>
                <w:sz w:val="24"/>
                <w:szCs w:val="21"/>
              </w:rPr>
              <w:t>五、总量控制指标</w:t>
            </w:r>
          </w:p>
          <w:p>
            <w:pPr>
              <w:pStyle w:val="9"/>
              <w:spacing w:line="360" w:lineRule="auto"/>
              <w:ind w:firstLine="480" w:firstLineChars="200"/>
              <w:jc w:val="left"/>
              <w:rPr>
                <w:rFonts w:ascii="Times New Roman" w:hAnsi="Times New Roman" w:eastAsiaTheme="minorEastAsia"/>
                <w:sz w:val="24"/>
                <w:szCs w:val="21"/>
              </w:rPr>
            </w:pPr>
            <w:r>
              <w:rPr>
                <w:rFonts w:ascii="Times New Roman" w:hAnsi="Times New Roman" w:eastAsiaTheme="minorEastAsia"/>
                <w:sz w:val="24"/>
                <w:szCs w:val="21"/>
              </w:rPr>
              <w:t>本项目环境影响报告表核定了了本工程的污染物的总量控制指标，具体见表1-5。</w:t>
            </w:r>
          </w:p>
          <w:p>
            <w:pPr>
              <w:spacing w:line="360" w:lineRule="auto"/>
              <w:jc w:val="center"/>
              <w:rPr>
                <w:rFonts w:ascii="Times New Roman" w:hAnsi="Times New Roman" w:eastAsiaTheme="minorEastAsia"/>
                <w:b/>
                <w:szCs w:val="21"/>
              </w:rPr>
            </w:pPr>
            <w:r>
              <w:rPr>
                <w:rFonts w:ascii="Times New Roman" w:hAnsi="Times New Roman" w:eastAsiaTheme="minorEastAsia"/>
                <w:b/>
                <w:szCs w:val="21"/>
              </w:rPr>
              <w:t>表1-5总量控制指标</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37"/>
              <w:gridCol w:w="34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6" w:hRule="atLeast"/>
                <w:jc w:val="center"/>
              </w:trPr>
              <w:tc>
                <w:tcPr>
                  <w:tcW w:w="2604"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名称</w:t>
                  </w:r>
                </w:p>
              </w:tc>
              <w:tc>
                <w:tcPr>
                  <w:tcW w:w="2396"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核定排放总量（t/a）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604"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颗粒物</w:t>
                  </w:r>
                </w:p>
              </w:tc>
              <w:tc>
                <w:tcPr>
                  <w:tcW w:w="2396" w:type="pct"/>
                  <w:vAlign w:val="center"/>
                </w:tcPr>
                <w:p>
                  <w:pPr>
                    <w:pStyle w:val="66"/>
                    <w:rPr>
                      <w:rFonts w:eastAsiaTheme="minorEastAsia"/>
                      <w:snapToGrid w:val="0"/>
                      <w:kern w:val="0"/>
                      <w:szCs w:val="21"/>
                    </w:rPr>
                  </w:pPr>
                  <w:r>
                    <w:rPr>
                      <w:rFonts w:eastAsiaTheme="minorEastAsia"/>
                      <w:snapToGrid w:val="0"/>
                      <w:kern w:val="0"/>
                      <w:szCs w:val="21"/>
                    </w:rPr>
                    <w:t>0.271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604"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VOCS</w:t>
                  </w:r>
                </w:p>
              </w:tc>
              <w:tc>
                <w:tcPr>
                  <w:tcW w:w="2396" w:type="pct"/>
                  <w:vAlign w:val="center"/>
                </w:tcPr>
                <w:p>
                  <w:pPr>
                    <w:pStyle w:val="66"/>
                    <w:rPr>
                      <w:rFonts w:eastAsiaTheme="minorEastAsia"/>
                      <w:snapToGrid w:val="0"/>
                      <w:kern w:val="0"/>
                      <w:szCs w:val="21"/>
                    </w:rPr>
                  </w:pPr>
                  <w:r>
                    <w:rPr>
                      <w:rFonts w:eastAsiaTheme="minorEastAsia"/>
                      <w:snapToGrid w:val="0"/>
                      <w:kern w:val="0"/>
                      <w:szCs w:val="21"/>
                    </w:rPr>
                    <w:t>0.265</w:t>
                  </w:r>
                </w:p>
              </w:tc>
            </w:tr>
          </w:tbl>
          <w:p>
            <w:pPr>
              <w:keepNext/>
              <w:keepLines/>
              <w:spacing w:line="360" w:lineRule="auto"/>
              <w:ind w:firstLine="480"/>
              <w:rPr>
                <w:rFonts w:ascii="Times New Roman" w:hAnsi="Times New Roman" w:eastAsiaTheme="minorEastAsia"/>
                <w:color w:val="FF0000"/>
                <w:szCs w:val="21"/>
              </w:rPr>
            </w:pPr>
          </w:p>
        </w:tc>
      </w:tr>
    </w:tbl>
    <w:p>
      <w:pPr>
        <w:outlineLvl w:val="0"/>
        <w:rPr>
          <w:rFonts w:ascii="Times New Roman" w:hAnsi="Times New Roman" w:eastAsiaTheme="minorEastAsia"/>
          <w:b/>
          <w:bCs/>
          <w:sz w:val="28"/>
          <w:szCs w:val="28"/>
        </w:rPr>
      </w:pPr>
      <w:bookmarkStart w:id="28" w:name="_Toc17318"/>
      <w:bookmarkStart w:id="29" w:name="_Toc28107"/>
      <w:r>
        <w:rPr>
          <w:rFonts w:ascii="Times New Roman" w:hAnsi="Times New Roman" w:eastAsiaTheme="minorEastAsia"/>
          <w:b/>
          <w:bCs/>
          <w:sz w:val="28"/>
          <w:szCs w:val="28"/>
        </w:rPr>
        <w:t>表二</w:t>
      </w:r>
      <w:bookmarkEnd w:id="28"/>
      <w:r>
        <w:rPr>
          <w:rFonts w:ascii="Times New Roman" w:hAnsi="Times New Roman" w:eastAsiaTheme="minorEastAsia"/>
          <w:b/>
          <w:bCs/>
          <w:sz w:val="28"/>
          <w:szCs w:val="28"/>
        </w:rPr>
        <w:t>工程建设内容</w:t>
      </w:r>
      <w:bookmarkEnd w:id="29"/>
    </w:p>
    <w:tbl>
      <w:tblPr>
        <w:tblStyle w:val="22"/>
        <w:tblW w:w="9011"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6" w:hRule="atLeast"/>
        </w:trPr>
        <w:tc>
          <w:tcPr>
            <w:tcW w:w="9011" w:type="dxa"/>
          </w:tcPr>
          <w:p>
            <w:pPr>
              <w:pStyle w:val="2"/>
              <w:spacing w:line="360" w:lineRule="auto"/>
              <w:jc w:val="both"/>
              <w:rPr>
                <w:rFonts w:ascii="Times New Roman" w:hAnsi="Times New Roman" w:eastAsiaTheme="minorEastAsia"/>
                <w:b/>
                <w:bCs/>
                <w:color w:val="auto"/>
              </w:rPr>
            </w:pPr>
            <w:r>
              <w:rPr>
                <w:rFonts w:ascii="Times New Roman" w:hAnsi="Times New Roman" w:eastAsiaTheme="minorEastAsia"/>
                <w:b/>
                <w:bCs/>
                <w:color w:val="auto"/>
              </w:rPr>
              <w:t>1.项目基本情况:</w:t>
            </w:r>
          </w:p>
          <w:p>
            <w:pPr>
              <w:spacing w:line="520" w:lineRule="exact"/>
              <w:ind w:firstLine="560"/>
              <w:rPr>
                <w:rFonts w:ascii="Times New Roman" w:hAnsi="Times New Roman" w:eastAsiaTheme="minorEastAsia"/>
                <w:sz w:val="24"/>
              </w:rPr>
            </w:pPr>
            <w:r>
              <w:rPr>
                <w:rFonts w:ascii="Times New Roman" w:hAnsi="Times New Roman" w:eastAsiaTheme="minorEastAsia"/>
                <w:sz w:val="24"/>
              </w:rPr>
              <w:t>项目名称：</w:t>
            </w:r>
            <w:r>
              <w:rPr>
                <w:rFonts w:ascii="Times New Roman" w:hAnsi="Times New Roman"/>
                <w:sz w:val="24"/>
              </w:rPr>
              <w:t>报废农业机械回收拆解项目</w:t>
            </w:r>
          </w:p>
          <w:p>
            <w:pPr>
              <w:spacing w:line="520" w:lineRule="exact"/>
              <w:ind w:firstLine="560"/>
              <w:rPr>
                <w:rFonts w:ascii="Times New Roman" w:hAnsi="Times New Roman" w:eastAsiaTheme="minorEastAsia"/>
                <w:sz w:val="24"/>
              </w:rPr>
            </w:pPr>
            <w:r>
              <w:rPr>
                <w:rFonts w:ascii="Times New Roman" w:hAnsi="Times New Roman" w:eastAsiaTheme="minorEastAsia"/>
                <w:sz w:val="24"/>
              </w:rPr>
              <w:t>建设单位：</w:t>
            </w:r>
            <w:r>
              <w:rPr>
                <w:rFonts w:ascii="Times New Roman" w:hAnsi="Times New Roman" w:eastAsiaTheme="minorEastAsia"/>
                <w:bCs/>
                <w:sz w:val="24"/>
              </w:rPr>
              <w:t>黑龙江远辰科技产业有限公司</w:t>
            </w:r>
          </w:p>
          <w:p>
            <w:pPr>
              <w:spacing w:line="520" w:lineRule="exact"/>
              <w:ind w:firstLine="560"/>
              <w:rPr>
                <w:rFonts w:ascii="Times New Roman" w:hAnsi="Times New Roman" w:eastAsiaTheme="minorEastAsia"/>
                <w:sz w:val="24"/>
              </w:rPr>
            </w:pPr>
            <w:r>
              <w:rPr>
                <w:rFonts w:ascii="Times New Roman" w:hAnsi="Times New Roman" w:eastAsiaTheme="minorEastAsia"/>
                <w:sz w:val="24"/>
              </w:rPr>
              <w:t>建设地点：本项目位于黑龙江省佳木斯市桦川县黑龙江桦川经济开发区内，经纬度：东经：130º43′36.868″，北纬：47º0′24.350″。项目东侧为风驰车桥有限公司，北侧为桦川县学府社区居委会，西侧为冷云大街，南侧为桦川县顺达塑料编织有限公司。</w:t>
            </w:r>
          </w:p>
          <w:p>
            <w:pPr>
              <w:spacing w:line="520" w:lineRule="exact"/>
              <w:ind w:firstLine="560"/>
              <w:rPr>
                <w:rFonts w:ascii="Times New Roman" w:hAnsi="Times New Roman" w:eastAsiaTheme="minorEastAsia"/>
                <w:sz w:val="24"/>
              </w:rPr>
            </w:pPr>
            <w:r>
              <w:rPr>
                <w:rFonts w:ascii="Times New Roman" w:hAnsi="Times New Roman" w:eastAsiaTheme="minorEastAsia"/>
                <w:sz w:val="24"/>
              </w:rPr>
              <w:t>建设性质：新建</w:t>
            </w:r>
          </w:p>
          <w:p>
            <w:pPr>
              <w:spacing w:line="520" w:lineRule="exact"/>
              <w:ind w:firstLine="560"/>
              <w:rPr>
                <w:rFonts w:ascii="Times New Roman" w:hAnsi="Times New Roman" w:eastAsiaTheme="minorEastAsia"/>
                <w:sz w:val="24"/>
              </w:rPr>
            </w:pPr>
            <w:r>
              <w:rPr>
                <w:rFonts w:ascii="Times New Roman" w:hAnsi="Times New Roman" w:eastAsiaTheme="minorEastAsia"/>
                <w:sz w:val="24"/>
              </w:rPr>
              <w:t>工程投资：50万元</w:t>
            </w:r>
          </w:p>
          <w:p>
            <w:pPr>
              <w:pStyle w:val="2"/>
              <w:spacing w:line="360" w:lineRule="auto"/>
              <w:jc w:val="both"/>
              <w:rPr>
                <w:rFonts w:ascii="Times New Roman" w:hAnsi="Times New Roman" w:eastAsiaTheme="minorEastAsia"/>
                <w:b/>
                <w:bCs/>
                <w:color w:val="auto"/>
              </w:rPr>
            </w:pPr>
            <w:r>
              <w:rPr>
                <w:rFonts w:ascii="Times New Roman" w:hAnsi="Times New Roman" w:eastAsiaTheme="minorEastAsia"/>
                <w:b/>
                <w:bCs/>
                <w:color w:val="auto"/>
              </w:rPr>
              <w:t>2.建设内容：</w:t>
            </w:r>
          </w:p>
          <w:p>
            <w:pPr>
              <w:spacing w:line="520" w:lineRule="exact"/>
              <w:ind w:firstLine="560"/>
              <w:rPr>
                <w:rFonts w:ascii="Times New Roman" w:hAnsi="Times New Roman" w:eastAsiaTheme="minorEastAsia"/>
                <w:sz w:val="24"/>
              </w:rPr>
            </w:pPr>
            <w:r>
              <w:rPr>
                <w:rFonts w:ascii="Times New Roman" w:hAnsi="Times New Roman" w:eastAsiaTheme="minorEastAsia"/>
                <w:sz w:val="24"/>
              </w:rPr>
              <w:t>本项目位于黑龙江省佳木斯市桦川县黑龙江桦川经济开发区内。</w:t>
            </w:r>
            <w:r>
              <w:rPr>
                <w:rFonts w:ascii="Times New Roman" w:hAnsi="Times New Roman" w:eastAsiaTheme="minorEastAsia"/>
                <w:bCs/>
                <w:sz w:val="24"/>
              </w:rPr>
              <w:t>黑龙江远辰科技产业有限公司</w:t>
            </w:r>
            <w:r>
              <w:rPr>
                <w:rFonts w:ascii="Times New Roman" w:hAnsi="Times New Roman" w:eastAsiaTheme="minorEastAsia"/>
                <w:sz w:val="24"/>
              </w:rPr>
              <w:t>占地面积</w:t>
            </w:r>
            <w:r>
              <w:rPr>
                <w:rFonts w:ascii="Times New Roman" w:hAnsi="Times New Roman"/>
                <w:sz w:val="24"/>
              </w:rPr>
              <w:t>950</w:t>
            </w:r>
            <w:r>
              <w:rPr>
                <w:rFonts w:ascii="Times New Roman" w:hAnsi="Times New Roman" w:eastAsiaTheme="minorEastAsia"/>
                <w:sz w:val="24"/>
              </w:rPr>
              <w:t>m</w:t>
            </w:r>
            <w:r>
              <w:rPr>
                <w:rFonts w:ascii="Times New Roman" w:hAnsi="Times New Roman" w:eastAsiaTheme="minorEastAsia"/>
                <w:sz w:val="24"/>
                <w:vertAlign w:val="superscript"/>
              </w:rPr>
              <w:t>2</w:t>
            </w:r>
            <w:r>
              <w:rPr>
                <w:rFonts w:ascii="Times New Roman" w:hAnsi="Times New Roman" w:eastAsiaTheme="minorEastAsia"/>
                <w:sz w:val="24"/>
              </w:rPr>
              <w:t>，建筑面积950m</w:t>
            </w:r>
            <w:r>
              <w:rPr>
                <w:rFonts w:ascii="Times New Roman" w:hAnsi="Times New Roman" w:eastAsiaTheme="minorEastAsia"/>
                <w:sz w:val="24"/>
                <w:vertAlign w:val="superscript"/>
              </w:rPr>
              <w:t>2</w:t>
            </w:r>
            <w:r>
              <w:rPr>
                <w:rFonts w:ascii="Times New Roman" w:hAnsi="Times New Roman" w:eastAsiaTheme="minorEastAsia"/>
                <w:sz w:val="24"/>
              </w:rPr>
              <w:t>，本次租赁桦川鼎泰门业有限公司场地现有部分厂房进行生产。主要建设内容为办公室、拆解车间和仓库，建设规模为建成后形成年回收拆解1000台报废农用机。环评及批复设计建设内容与实际建设内容对照表见表2-1。</w:t>
            </w:r>
          </w:p>
          <w:p>
            <w:pPr>
              <w:spacing w:line="360" w:lineRule="auto"/>
              <w:jc w:val="center"/>
              <w:rPr>
                <w:rFonts w:ascii="Times New Roman" w:hAnsi="Times New Roman" w:eastAsiaTheme="minorEastAsia"/>
                <w:b/>
                <w:bCs/>
                <w:sz w:val="24"/>
              </w:rPr>
            </w:pPr>
            <w:r>
              <w:rPr>
                <w:rFonts w:ascii="Times New Roman" w:hAnsi="Times New Roman" w:eastAsiaTheme="minorEastAsia"/>
                <w:b/>
                <w:bCs/>
                <w:sz w:val="24"/>
              </w:rPr>
              <w:t>表2-1环评及批复设计建设内容与实际建设内容对照表</w:t>
            </w:r>
          </w:p>
          <w:tbl>
            <w:tblPr>
              <w:tblStyle w:val="21"/>
              <w:tblpPr w:leftFromText="180" w:rightFromText="180" w:vertAnchor="text" w:tblpXSpec="center" w:tblpY="1"/>
              <w:tblOverlap w:val="never"/>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056"/>
              <w:gridCol w:w="2835"/>
              <w:gridCol w:w="2256"/>
              <w:gridCol w:w="19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vAlign w:val="center"/>
                </w:tcPr>
                <w:p>
                  <w:pPr>
                    <w:jc w:val="center"/>
                    <w:rPr>
                      <w:rFonts w:ascii="Times New Roman" w:hAnsi="Times New Roman" w:eastAsiaTheme="minorEastAsia"/>
                      <w:szCs w:val="21"/>
                    </w:rPr>
                  </w:pPr>
                  <w:r>
                    <w:rPr>
                      <w:rFonts w:ascii="Times New Roman" w:hAnsi="Times New Roman" w:eastAsiaTheme="minorEastAsia"/>
                      <w:szCs w:val="21"/>
                    </w:rPr>
                    <w:t>工程组成</w:t>
                  </w:r>
                </w:p>
              </w:tc>
              <w:tc>
                <w:tcPr>
                  <w:tcW w:w="2085" w:type="pct"/>
                  <w:gridSpan w:val="2"/>
                  <w:vAlign w:val="center"/>
                </w:tcPr>
                <w:p>
                  <w:pPr>
                    <w:jc w:val="center"/>
                    <w:rPr>
                      <w:rFonts w:ascii="Times New Roman" w:hAnsi="Times New Roman" w:eastAsiaTheme="minorEastAsia"/>
                      <w:szCs w:val="21"/>
                    </w:rPr>
                  </w:pPr>
                  <w:r>
                    <w:rPr>
                      <w:rFonts w:ascii="Times New Roman" w:hAnsi="Times New Roman" w:eastAsiaTheme="minorEastAsia"/>
                      <w:szCs w:val="21"/>
                    </w:rPr>
                    <w:t>环评及批复阶段建设内容</w:t>
                  </w:r>
                </w:p>
              </w:tc>
              <w:tc>
                <w:tcPr>
                  <w:tcW w:w="1209"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zCs w:val="21"/>
                    </w:rPr>
                    <w:t>实际建设内容</w:t>
                  </w:r>
                </w:p>
              </w:tc>
              <w:tc>
                <w:tcPr>
                  <w:tcW w:w="1051" w:type="pct"/>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vAlign w:val="center"/>
                </w:tcPr>
                <w:p>
                  <w:pPr>
                    <w:jc w:val="center"/>
                    <w:rPr>
                      <w:rFonts w:ascii="Times New Roman" w:hAnsi="Times New Roman" w:eastAsiaTheme="minorEastAsia"/>
                      <w:szCs w:val="21"/>
                    </w:rPr>
                  </w:pPr>
                  <w:r>
                    <w:rPr>
                      <w:rFonts w:ascii="Times New Roman" w:hAnsi="Times New Roman" w:eastAsiaTheme="minorEastAsia"/>
                      <w:szCs w:val="21"/>
                    </w:rPr>
                    <w:t>主体工程</w:t>
                  </w:r>
                </w:p>
              </w:tc>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拆解厂房</w:t>
                  </w: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位于厂区北侧，建筑面积约为700m</w:t>
                  </w:r>
                  <w:r>
                    <w:rPr>
                      <w:rFonts w:ascii="Times New Roman" w:hAnsi="Times New Roman" w:eastAsiaTheme="minorEastAsia"/>
                      <w:szCs w:val="21"/>
                      <w:vertAlign w:val="superscript"/>
                    </w:rPr>
                    <w:t>2</w:t>
                  </w:r>
                  <w:r>
                    <w:rPr>
                      <w:rFonts w:ascii="Times New Roman" w:hAnsi="Times New Roman" w:eastAsiaTheme="minorEastAsia"/>
                      <w:szCs w:val="21"/>
                    </w:rPr>
                    <w:t xml:space="preserve">，依托已建厂房，拆解区地面进行硬化和防渗处理，放置拆解设备和待拆解农机  </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位于厂区北侧，建筑面积约为700m</w:t>
                  </w:r>
                  <w:r>
                    <w:rPr>
                      <w:rFonts w:ascii="Times New Roman" w:hAnsi="Times New Roman" w:eastAsiaTheme="minorEastAsia"/>
                      <w:szCs w:val="21"/>
                      <w:vertAlign w:val="superscript"/>
                    </w:rPr>
                    <w:t>2</w:t>
                  </w:r>
                  <w:r>
                    <w:rPr>
                      <w:rFonts w:ascii="Times New Roman" w:hAnsi="Times New Roman" w:eastAsiaTheme="minorEastAsia"/>
                      <w:szCs w:val="21"/>
                    </w:rPr>
                    <w:t>，依托已建厂房，拆解区地面进行硬化和防渗处理，放置拆解设备和待拆解农机</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54" w:type="pct"/>
                  <w:vAlign w:val="center"/>
                </w:tcPr>
                <w:p>
                  <w:pPr>
                    <w:jc w:val="center"/>
                    <w:rPr>
                      <w:rFonts w:ascii="Times New Roman" w:hAnsi="Times New Roman" w:eastAsiaTheme="minorEastAsia"/>
                      <w:szCs w:val="21"/>
                    </w:rPr>
                  </w:pPr>
                  <w:r>
                    <w:rPr>
                      <w:rFonts w:ascii="Times New Roman" w:hAnsi="Times New Roman" w:eastAsiaTheme="minorEastAsia"/>
                      <w:szCs w:val="21"/>
                    </w:rPr>
                    <w:t>辅助工程</w:t>
                  </w:r>
                </w:p>
              </w:tc>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办公室</w:t>
                  </w: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位于厂区东侧，建筑面积约为200m</w:t>
                  </w:r>
                  <w:r>
                    <w:rPr>
                      <w:rFonts w:ascii="Times New Roman" w:hAnsi="Times New Roman" w:eastAsiaTheme="minorEastAsia"/>
                      <w:szCs w:val="21"/>
                      <w:vertAlign w:val="superscript"/>
                    </w:rPr>
                    <w:t>2</w:t>
                  </w:r>
                  <w:r>
                    <w:rPr>
                      <w:rFonts w:ascii="Times New Roman" w:hAnsi="Times New Roman" w:eastAsiaTheme="minorEastAsia"/>
                      <w:szCs w:val="21"/>
                    </w:rPr>
                    <w:t>，地上两层，用于工作人员办公使用</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位于厂区东侧，建筑面积约为200m</w:t>
                  </w:r>
                  <w:r>
                    <w:rPr>
                      <w:rFonts w:ascii="Times New Roman" w:hAnsi="Times New Roman" w:eastAsiaTheme="minorEastAsia"/>
                      <w:szCs w:val="21"/>
                      <w:vertAlign w:val="superscript"/>
                    </w:rPr>
                    <w:t>2</w:t>
                  </w:r>
                  <w:r>
                    <w:rPr>
                      <w:rFonts w:ascii="Times New Roman" w:hAnsi="Times New Roman" w:eastAsiaTheme="minorEastAsia"/>
                      <w:szCs w:val="21"/>
                    </w:rPr>
                    <w:t>，地上两层，用于工作人员办公使用</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54" w:type="pct"/>
                  <w:vAlign w:val="center"/>
                </w:tcPr>
                <w:p>
                  <w:pPr>
                    <w:jc w:val="center"/>
                    <w:rPr>
                      <w:rFonts w:ascii="Times New Roman" w:hAnsi="Times New Roman" w:eastAsiaTheme="minorEastAsia"/>
                      <w:szCs w:val="21"/>
                    </w:rPr>
                  </w:pPr>
                  <w:r>
                    <w:rPr>
                      <w:rFonts w:ascii="Times New Roman" w:hAnsi="Times New Roman" w:eastAsiaTheme="minorEastAsia"/>
                      <w:szCs w:val="21"/>
                    </w:rPr>
                    <w:t>储运工程</w:t>
                  </w:r>
                </w:p>
              </w:tc>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危险废物暂存间</w:t>
                  </w: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位于厂区北侧，建筑面积约为50m</w:t>
                  </w:r>
                  <w:r>
                    <w:rPr>
                      <w:rFonts w:ascii="Times New Roman" w:hAnsi="Times New Roman" w:eastAsiaTheme="minorEastAsia"/>
                      <w:szCs w:val="21"/>
                      <w:vertAlign w:val="superscript"/>
                    </w:rPr>
                    <w:t>2</w:t>
                  </w:r>
                  <w:r>
                    <w:rPr>
                      <w:rFonts w:ascii="Times New Roman" w:hAnsi="Times New Roman" w:eastAsiaTheme="minorEastAsia"/>
                      <w:szCs w:val="21"/>
                    </w:rPr>
                    <w:t>，砖瓦结构，地面进行硬化和防渗处理，用于拆解下来的危险废物暂存</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位于厂区北侧，建筑面积约为50m</w:t>
                  </w:r>
                  <w:r>
                    <w:rPr>
                      <w:rFonts w:ascii="Times New Roman" w:hAnsi="Times New Roman" w:eastAsiaTheme="minorEastAsia"/>
                      <w:szCs w:val="21"/>
                      <w:vertAlign w:val="superscript"/>
                    </w:rPr>
                    <w:t>2</w:t>
                  </w:r>
                  <w:r>
                    <w:rPr>
                      <w:rFonts w:ascii="Times New Roman" w:hAnsi="Times New Roman" w:eastAsiaTheme="minorEastAsia"/>
                      <w:szCs w:val="21"/>
                    </w:rPr>
                    <w:t>，砖瓦结构，地面进行硬化和防渗处理，用于拆解下来的危险废物暂存</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30" w:hRule="atLeast"/>
                <w:jc w:val="center"/>
              </w:trPr>
              <w:tc>
                <w:tcPr>
                  <w:tcW w:w="654" w:type="pct"/>
                  <w:vMerge w:val="restart"/>
                  <w:vAlign w:val="center"/>
                </w:tcPr>
                <w:p>
                  <w:pPr>
                    <w:jc w:val="center"/>
                    <w:rPr>
                      <w:rFonts w:ascii="Times New Roman" w:hAnsi="Times New Roman" w:eastAsiaTheme="minorEastAsia"/>
                      <w:szCs w:val="21"/>
                    </w:rPr>
                  </w:pPr>
                  <w:r>
                    <w:rPr>
                      <w:rFonts w:ascii="Times New Roman" w:hAnsi="Times New Roman" w:eastAsiaTheme="minorEastAsia"/>
                      <w:szCs w:val="21"/>
                    </w:rPr>
                    <w:t>公用工程</w:t>
                  </w:r>
                </w:p>
              </w:tc>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排水</w:t>
                  </w: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生活废水经化粪池处理排入市政管网，排水量为350.4t/a</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生活废水经化粪池处理排入市政管网</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54" w:type="pct"/>
                  <w:vMerge w:val="continue"/>
                  <w:vAlign w:val="center"/>
                </w:tcPr>
                <w:p>
                  <w:pPr>
                    <w:jc w:val="center"/>
                    <w:rPr>
                      <w:rFonts w:ascii="Times New Roman" w:hAnsi="Times New Roman" w:eastAsiaTheme="minorEastAsia"/>
                      <w:szCs w:val="21"/>
                    </w:rPr>
                  </w:pPr>
                </w:p>
              </w:tc>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给水</w:t>
                  </w: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水源为市政供水，新鲜水总用水量为450t/a</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水源为市政供水，新鲜水总用水量为450t/a</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54" w:type="pct"/>
                  <w:vMerge w:val="continue"/>
                  <w:vAlign w:val="center"/>
                </w:tcPr>
                <w:p>
                  <w:pPr>
                    <w:jc w:val="center"/>
                    <w:rPr>
                      <w:rFonts w:ascii="Times New Roman" w:hAnsi="Times New Roman" w:eastAsiaTheme="minorEastAsia"/>
                      <w:szCs w:val="21"/>
                    </w:rPr>
                  </w:pPr>
                </w:p>
              </w:tc>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供电</w:t>
                  </w: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市政供电管网</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市政供电管网</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54" w:type="pct"/>
                  <w:vMerge w:val="continue"/>
                  <w:vAlign w:val="center"/>
                </w:tcPr>
                <w:p>
                  <w:pPr>
                    <w:jc w:val="center"/>
                    <w:rPr>
                      <w:rFonts w:ascii="Times New Roman" w:hAnsi="Times New Roman" w:eastAsiaTheme="minorEastAsia"/>
                      <w:szCs w:val="21"/>
                    </w:rPr>
                  </w:pPr>
                </w:p>
              </w:tc>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供暖</w:t>
                  </w: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市政供暖</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市政供暖</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428" w:hRule="atLeast"/>
                <w:jc w:val="center"/>
              </w:trPr>
              <w:tc>
                <w:tcPr>
                  <w:tcW w:w="654" w:type="pct"/>
                  <w:vMerge w:val="restart"/>
                  <w:vAlign w:val="center"/>
                </w:tcPr>
                <w:p>
                  <w:pPr>
                    <w:jc w:val="center"/>
                    <w:rPr>
                      <w:rFonts w:ascii="Times New Roman" w:hAnsi="Times New Roman" w:eastAsiaTheme="minorEastAsia"/>
                      <w:szCs w:val="21"/>
                    </w:rPr>
                  </w:pPr>
                  <w:r>
                    <w:rPr>
                      <w:rFonts w:ascii="Times New Roman" w:hAnsi="Times New Roman" w:eastAsiaTheme="minorEastAsia"/>
                      <w:szCs w:val="21"/>
                    </w:rPr>
                    <w:t>环保工程</w:t>
                  </w:r>
                </w:p>
              </w:tc>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废气</w:t>
                  </w: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预处理过程挥发废气经集气罩收集后经活性炭吸附装置处理，后经15m高排气筒（P1）排放,切割废气经集气罩收集后经布袋除尘器处理，经15m高排气筒（P2）排放。</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预处理过程挥发废气经集气罩收集后经活性炭吸附装置处理，后经15m高排气筒（P1）排放,切割废气经集气罩收集后经布袋除尘器处理，经15m高排气筒（P1）排放。</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本项目预处理过程挥发废气经集气罩收集后经活性炭吸附装置处理，后经15m高排气筒（P1）排放,切割废气经集气罩收集后经布袋除尘器处理，经同一根15m高排气筒（P1）排放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57" w:hRule="atLeast"/>
                <w:jc w:val="center"/>
              </w:trPr>
              <w:tc>
                <w:tcPr>
                  <w:tcW w:w="654" w:type="pct"/>
                  <w:vMerge w:val="continue"/>
                  <w:vAlign w:val="center"/>
                </w:tcPr>
                <w:p>
                  <w:pPr>
                    <w:jc w:val="center"/>
                    <w:rPr>
                      <w:rFonts w:ascii="Times New Roman" w:hAnsi="Times New Roman" w:eastAsiaTheme="minorEastAsia"/>
                      <w:szCs w:val="21"/>
                    </w:rPr>
                  </w:pPr>
                </w:p>
              </w:tc>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废水</w:t>
                  </w: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 xml:space="preserve">生活废水经化粪池处理排入市政管网 </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 xml:space="preserve">生活废水经化粪池处理排入市政管网 </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54" w:type="pct"/>
                  <w:vMerge w:val="continue"/>
                  <w:vAlign w:val="center"/>
                </w:tcPr>
                <w:p>
                  <w:pPr>
                    <w:jc w:val="center"/>
                    <w:rPr>
                      <w:rFonts w:ascii="Times New Roman" w:hAnsi="Times New Roman" w:eastAsiaTheme="minorEastAsia"/>
                      <w:szCs w:val="21"/>
                    </w:rPr>
                  </w:pPr>
                </w:p>
              </w:tc>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噪声</w:t>
                  </w: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选用低噪声设备，设备基础减震，厂房隔音</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选用低噪声设备，设备基础减震，厂房隔音</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54" w:type="pct"/>
                  <w:vMerge w:val="continue"/>
                  <w:vAlign w:val="center"/>
                </w:tcPr>
                <w:p>
                  <w:pPr>
                    <w:jc w:val="center"/>
                    <w:rPr>
                      <w:rFonts w:ascii="Times New Roman" w:hAnsi="Times New Roman" w:eastAsiaTheme="minorEastAsia"/>
                      <w:szCs w:val="21"/>
                    </w:rPr>
                  </w:pPr>
                </w:p>
              </w:tc>
              <w:tc>
                <w:tcPr>
                  <w:tcW w:w="566" w:type="pct"/>
                  <w:vMerge w:val="restart"/>
                  <w:vAlign w:val="center"/>
                </w:tcPr>
                <w:p>
                  <w:pPr>
                    <w:jc w:val="center"/>
                    <w:rPr>
                      <w:rFonts w:ascii="Times New Roman" w:hAnsi="Times New Roman" w:eastAsiaTheme="minorEastAsia"/>
                      <w:szCs w:val="21"/>
                    </w:rPr>
                  </w:pPr>
                  <w:r>
                    <w:rPr>
                      <w:rFonts w:ascii="Times New Roman" w:hAnsi="Times New Roman" w:eastAsiaTheme="minorEastAsia"/>
                      <w:szCs w:val="21"/>
                    </w:rPr>
                    <w:t>固废</w:t>
                  </w: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生活垃圾集中收集，定期清运.</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生活垃圾集中收集，定期清运.</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54" w:type="pct"/>
                  <w:vMerge w:val="continue"/>
                  <w:vAlign w:val="center"/>
                </w:tcPr>
                <w:p>
                  <w:pPr>
                    <w:jc w:val="center"/>
                    <w:rPr>
                      <w:rFonts w:ascii="Times New Roman" w:hAnsi="Times New Roman" w:eastAsiaTheme="minorEastAsia"/>
                      <w:szCs w:val="21"/>
                    </w:rPr>
                  </w:pPr>
                </w:p>
              </w:tc>
              <w:tc>
                <w:tcPr>
                  <w:tcW w:w="566" w:type="pct"/>
                  <w:vMerge w:val="continue"/>
                  <w:vAlign w:val="center"/>
                </w:tcPr>
                <w:p>
                  <w:pPr>
                    <w:jc w:val="center"/>
                    <w:rPr>
                      <w:rFonts w:ascii="Times New Roman" w:hAnsi="Times New Roman" w:eastAsiaTheme="minorEastAsia"/>
                      <w:szCs w:val="21"/>
                    </w:rPr>
                  </w:pP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拆解过程产生的金属类及非金属类具有回收利用价值，卖与回收单位，其他一般固废经收集后交由环卫部门处置</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拆解过程产生的金属类及非金属类具有回收利用价值，卖与回收单位，其他一般固废经收集后交由环卫部门处置</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07" w:hRule="atLeast"/>
                <w:jc w:val="center"/>
              </w:trPr>
              <w:tc>
                <w:tcPr>
                  <w:tcW w:w="654" w:type="pct"/>
                  <w:vMerge w:val="continue"/>
                  <w:vAlign w:val="center"/>
                </w:tcPr>
                <w:p>
                  <w:pPr>
                    <w:jc w:val="center"/>
                    <w:rPr>
                      <w:rFonts w:ascii="Times New Roman" w:hAnsi="Times New Roman" w:eastAsiaTheme="minorEastAsia"/>
                      <w:szCs w:val="21"/>
                    </w:rPr>
                  </w:pPr>
                </w:p>
              </w:tc>
              <w:tc>
                <w:tcPr>
                  <w:tcW w:w="566" w:type="pct"/>
                  <w:vMerge w:val="continue"/>
                  <w:vAlign w:val="center"/>
                </w:tcPr>
                <w:p>
                  <w:pPr>
                    <w:jc w:val="center"/>
                    <w:rPr>
                      <w:rFonts w:ascii="Times New Roman" w:hAnsi="Times New Roman" w:eastAsiaTheme="minorEastAsia"/>
                      <w:szCs w:val="21"/>
                    </w:rPr>
                  </w:pPr>
                </w:p>
              </w:tc>
              <w:tc>
                <w:tcPr>
                  <w:tcW w:w="1519" w:type="pct"/>
                  <w:vAlign w:val="center"/>
                </w:tcPr>
                <w:p>
                  <w:pPr>
                    <w:jc w:val="center"/>
                    <w:rPr>
                      <w:rFonts w:ascii="Times New Roman" w:hAnsi="Times New Roman" w:eastAsiaTheme="minorEastAsia"/>
                      <w:szCs w:val="21"/>
                    </w:rPr>
                  </w:pPr>
                  <w:r>
                    <w:rPr>
                      <w:rFonts w:ascii="Times New Roman" w:hAnsi="Times New Roman" w:eastAsiaTheme="minorEastAsia"/>
                      <w:szCs w:val="21"/>
                    </w:rPr>
                    <w:t>危险废物暂存于危废暂存间，并交由有资质的单位进行处置</w:t>
                  </w:r>
                </w:p>
              </w:tc>
              <w:tc>
                <w:tcPr>
                  <w:tcW w:w="1209" w:type="pct"/>
                  <w:vAlign w:val="center"/>
                </w:tcPr>
                <w:p>
                  <w:pPr>
                    <w:jc w:val="center"/>
                    <w:rPr>
                      <w:rFonts w:ascii="Times New Roman" w:hAnsi="Times New Roman" w:eastAsiaTheme="minorEastAsia"/>
                      <w:szCs w:val="21"/>
                    </w:rPr>
                  </w:pPr>
                  <w:r>
                    <w:rPr>
                      <w:rFonts w:ascii="Times New Roman" w:hAnsi="Times New Roman" w:eastAsiaTheme="minorEastAsia"/>
                      <w:szCs w:val="21"/>
                    </w:rPr>
                    <w:t>危险废物暂存于危废暂存间，并交</w:t>
                  </w:r>
                  <w:r>
                    <w:rPr>
                      <w:rFonts w:ascii="Times New Roman" w:hAnsi="Times New Roman" w:eastAsiaTheme="minorEastAsia"/>
                    </w:rPr>
                    <w:t>佳木斯市郊区恒坤废油再生处理厂及佳木斯龙江环保再生资源有限公司</w:t>
                  </w:r>
                  <w:r>
                    <w:rPr>
                      <w:rFonts w:ascii="Times New Roman" w:hAnsi="Times New Roman" w:eastAsiaTheme="minorEastAsia"/>
                      <w:szCs w:val="21"/>
                    </w:rPr>
                    <w:t>进行处置</w:t>
                  </w:r>
                </w:p>
              </w:tc>
              <w:tc>
                <w:tcPr>
                  <w:tcW w:w="1051" w:type="pct"/>
                  <w:vAlign w:val="center"/>
                </w:tcPr>
                <w:p>
                  <w:pPr>
                    <w:jc w:val="center"/>
                    <w:rPr>
                      <w:rFonts w:ascii="Times New Roman" w:hAnsi="Times New Roman" w:eastAsiaTheme="minorEastAsia"/>
                      <w:szCs w:val="21"/>
                    </w:rPr>
                  </w:pPr>
                  <w:r>
                    <w:rPr>
                      <w:rFonts w:ascii="Times New Roman" w:hAnsi="Times New Roman" w:eastAsiaTheme="minorEastAsia"/>
                      <w:szCs w:val="21"/>
                    </w:rPr>
                    <w:t>无变化</w:t>
                  </w:r>
                </w:p>
              </w:tc>
            </w:tr>
          </w:tbl>
          <w:p>
            <w:pPr>
              <w:pStyle w:val="10"/>
              <w:spacing w:line="520" w:lineRule="exact"/>
              <w:ind w:firstLine="0" w:firstLineChars="0"/>
              <w:contextualSpacing/>
              <w:rPr>
                <w:rFonts w:ascii="Times New Roman" w:hAnsi="Times New Roman" w:eastAsiaTheme="minorEastAsia"/>
                <w:b/>
                <w:kern w:val="24"/>
              </w:rPr>
            </w:pPr>
            <w:r>
              <w:rPr>
                <w:rFonts w:ascii="Times New Roman" w:hAnsi="Times New Roman" w:eastAsiaTheme="minorEastAsia"/>
                <w:b/>
                <w:kern w:val="24"/>
              </w:rPr>
              <w:t>3.主要生产设备：</w:t>
            </w:r>
          </w:p>
          <w:p>
            <w:pPr>
              <w:pStyle w:val="10"/>
              <w:spacing w:line="520" w:lineRule="exact"/>
              <w:ind w:firstLine="0" w:firstLineChars="0"/>
              <w:contextualSpacing/>
              <w:rPr>
                <w:rFonts w:ascii="Times New Roman" w:hAnsi="Times New Roman" w:eastAsiaTheme="minorEastAsia"/>
                <w:b/>
                <w:kern w:val="24"/>
              </w:rPr>
            </w:pPr>
          </w:p>
          <w:p>
            <w:pPr>
              <w:pStyle w:val="10"/>
              <w:spacing w:line="520" w:lineRule="exact"/>
              <w:ind w:firstLine="0" w:firstLineChars="0"/>
              <w:contextualSpacing/>
              <w:jc w:val="center"/>
              <w:rPr>
                <w:rFonts w:ascii="Times New Roman" w:hAnsi="Times New Roman" w:eastAsiaTheme="minorEastAsia"/>
                <w:b/>
                <w:kern w:val="24"/>
              </w:rPr>
            </w:pPr>
            <w:r>
              <w:rPr>
                <w:rFonts w:ascii="Times New Roman" w:hAnsi="Times New Roman" w:eastAsiaTheme="minorEastAsia"/>
                <w:b/>
                <w:kern w:val="24"/>
              </w:rPr>
              <w:t>表2-2本项目主要设备清单</w:t>
            </w:r>
          </w:p>
          <w:tbl>
            <w:tblPr>
              <w:tblStyle w:val="21"/>
              <w:tblpPr w:leftFromText="180" w:rightFromText="180" w:vertAnchor="text" w:tblpXSpec="center" w:tblpY="1"/>
              <w:tblOverlap w:val="never"/>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092"/>
              <w:gridCol w:w="996"/>
              <w:gridCol w:w="1259"/>
              <w:gridCol w:w="1532"/>
              <w:gridCol w:w="25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493" w:type="pct"/>
                  <w:vAlign w:val="center"/>
                </w:tcPr>
                <w:p>
                  <w:pPr>
                    <w:adjustRightInd w:val="0"/>
                    <w:snapToGrid w:val="0"/>
                    <w:jc w:val="center"/>
                    <w:rPr>
                      <w:rFonts w:ascii="Times New Roman" w:hAnsi="Times New Roman" w:eastAsiaTheme="minorEastAsia"/>
                      <w:snapToGrid w:val="0"/>
                      <w:kern w:val="0"/>
                      <w:szCs w:val="21"/>
                    </w:rPr>
                  </w:pPr>
                  <w:bookmarkStart w:id="30" w:name="_Hlk40780635"/>
                  <w:r>
                    <w:rPr>
                      <w:rFonts w:ascii="Times New Roman" w:hAnsi="Times New Roman" w:eastAsiaTheme="minorEastAsia"/>
                      <w:snapToGrid w:val="0"/>
                      <w:kern w:val="0"/>
                      <w:szCs w:val="21"/>
                    </w:rPr>
                    <w:t>序号</w:t>
                  </w:r>
                </w:p>
              </w:tc>
              <w:tc>
                <w:tcPr>
                  <w:tcW w:w="1121"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设备名称</w:t>
                  </w:r>
                </w:p>
              </w:tc>
              <w:tc>
                <w:tcPr>
                  <w:tcW w:w="534"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单位</w:t>
                  </w:r>
                </w:p>
              </w:tc>
              <w:tc>
                <w:tcPr>
                  <w:tcW w:w="675"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数量</w:t>
                  </w:r>
                </w:p>
              </w:tc>
              <w:tc>
                <w:tcPr>
                  <w:tcW w:w="821"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型号/规格</w:t>
                  </w:r>
                </w:p>
              </w:tc>
              <w:tc>
                <w:tcPr>
                  <w:tcW w:w="1356"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备注</w:t>
                  </w:r>
                </w:p>
              </w:tc>
            </w:tr>
            <w:bookmarkEnd w:id="30"/>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3"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1</w:t>
                  </w:r>
                </w:p>
              </w:tc>
              <w:tc>
                <w:tcPr>
                  <w:tcW w:w="1121" w:type="pct"/>
                  <w:vAlign w:val="center"/>
                </w:tcPr>
                <w:p>
                  <w:pPr>
                    <w:pStyle w:val="67"/>
                    <w:widowControl w:val="0"/>
                    <w:rPr>
                      <w:rFonts w:eastAsiaTheme="minorEastAsia"/>
                      <w:snapToGrid w:val="0"/>
                      <w:kern w:val="0"/>
                    </w:rPr>
                  </w:pPr>
                  <w:r>
                    <w:rPr>
                      <w:rFonts w:eastAsiaTheme="minorEastAsia"/>
                      <w:snapToGrid w:val="0"/>
                      <w:kern w:val="0"/>
                    </w:rPr>
                    <w:t>等离子切割机</w:t>
                  </w:r>
                </w:p>
              </w:tc>
              <w:tc>
                <w:tcPr>
                  <w:tcW w:w="534" w:type="pct"/>
                  <w:vAlign w:val="center"/>
                </w:tcPr>
                <w:p>
                  <w:pPr>
                    <w:pStyle w:val="67"/>
                    <w:widowControl w:val="0"/>
                    <w:rPr>
                      <w:rFonts w:eastAsiaTheme="minorEastAsia"/>
                      <w:snapToGrid w:val="0"/>
                      <w:kern w:val="0"/>
                    </w:rPr>
                  </w:pPr>
                  <w:r>
                    <w:rPr>
                      <w:rFonts w:eastAsiaTheme="minorEastAsia"/>
                      <w:snapToGrid w:val="0"/>
                      <w:kern w:val="0"/>
                    </w:rPr>
                    <w:t>台</w:t>
                  </w:r>
                </w:p>
              </w:tc>
              <w:tc>
                <w:tcPr>
                  <w:tcW w:w="675" w:type="pct"/>
                  <w:vAlign w:val="center"/>
                </w:tcPr>
                <w:p>
                  <w:pPr>
                    <w:pStyle w:val="67"/>
                    <w:widowControl w:val="0"/>
                    <w:rPr>
                      <w:rFonts w:eastAsiaTheme="minorEastAsia"/>
                      <w:snapToGrid w:val="0"/>
                      <w:kern w:val="0"/>
                    </w:rPr>
                  </w:pPr>
                  <w:r>
                    <w:rPr>
                      <w:rFonts w:eastAsiaTheme="minorEastAsia"/>
                      <w:snapToGrid w:val="0"/>
                      <w:kern w:val="0"/>
                    </w:rPr>
                    <w:t>2</w:t>
                  </w:r>
                </w:p>
              </w:tc>
              <w:tc>
                <w:tcPr>
                  <w:tcW w:w="821" w:type="pct"/>
                  <w:vAlign w:val="center"/>
                </w:tcPr>
                <w:p>
                  <w:pPr>
                    <w:pStyle w:val="67"/>
                    <w:widowControl w:val="0"/>
                    <w:rPr>
                      <w:rFonts w:eastAsiaTheme="minorEastAsia"/>
                      <w:snapToGrid w:val="0"/>
                      <w:kern w:val="0"/>
                    </w:rPr>
                  </w:pPr>
                  <w:r>
                    <w:rPr>
                      <w:rFonts w:eastAsiaTheme="minorEastAsia"/>
                      <w:snapToGrid w:val="0"/>
                      <w:kern w:val="0"/>
                    </w:rPr>
                    <w:t>ZX7-250</w:t>
                  </w:r>
                </w:p>
              </w:tc>
              <w:tc>
                <w:tcPr>
                  <w:tcW w:w="1356" w:type="pct"/>
                  <w:vAlign w:val="center"/>
                </w:tcPr>
                <w:p>
                  <w:pPr>
                    <w:pStyle w:val="67"/>
                    <w:widowControl w:val="0"/>
                    <w:rPr>
                      <w:rFonts w:eastAsiaTheme="minorEastAsia"/>
                      <w:snapToGrid w:val="0"/>
                      <w:kern w:val="0"/>
                    </w:rPr>
                  </w:pPr>
                  <w:r>
                    <w:rPr>
                      <w:rFonts w:eastAsiaTheme="minorEastAsia"/>
                      <w:snapToGrid w:val="0"/>
                      <w:kern w:val="0"/>
                    </w:rPr>
                    <w:t>切割设备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493"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2</w:t>
                  </w:r>
                </w:p>
              </w:tc>
              <w:tc>
                <w:tcPr>
                  <w:tcW w:w="1121" w:type="pct"/>
                  <w:vAlign w:val="center"/>
                </w:tcPr>
                <w:p>
                  <w:pPr>
                    <w:pStyle w:val="67"/>
                    <w:widowControl w:val="0"/>
                    <w:rPr>
                      <w:rFonts w:eastAsiaTheme="minorEastAsia"/>
                      <w:snapToGrid w:val="0"/>
                      <w:kern w:val="0"/>
                    </w:rPr>
                  </w:pPr>
                  <w:r>
                    <w:rPr>
                      <w:rFonts w:eastAsiaTheme="minorEastAsia"/>
                      <w:snapToGrid w:val="0"/>
                      <w:kern w:val="0"/>
                    </w:rPr>
                    <w:t>叉车</w:t>
                  </w:r>
                </w:p>
              </w:tc>
              <w:tc>
                <w:tcPr>
                  <w:tcW w:w="534"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台</w:t>
                  </w:r>
                </w:p>
              </w:tc>
              <w:tc>
                <w:tcPr>
                  <w:tcW w:w="675" w:type="pct"/>
                  <w:vAlign w:val="center"/>
                </w:tcPr>
                <w:p>
                  <w:pPr>
                    <w:pStyle w:val="67"/>
                    <w:widowControl w:val="0"/>
                    <w:rPr>
                      <w:rFonts w:eastAsiaTheme="minorEastAsia"/>
                      <w:snapToGrid w:val="0"/>
                      <w:kern w:val="0"/>
                    </w:rPr>
                  </w:pPr>
                  <w:r>
                    <w:rPr>
                      <w:rFonts w:eastAsiaTheme="minorEastAsia"/>
                      <w:snapToGrid w:val="0"/>
                      <w:kern w:val="0"/>
                    </w:rPr>
                    <w:t>2</w:t>
                  </w:r>
                </w:p>
              </w:tc>
              <w:tc>
                <w:tcPr>
                  <w:tcW w:w="821" w:type="pct"/>
                  <w:vAlign w:val="center"/>
                </w:tcPr>
                <w:p>
                  <w:pPr>
                    <w:pStyle w:val="67"/>
                    <w:widowControl w:val="0"/>
                    <w:rPr>
                      <w:rFonts w:eastAsiaTheme="minorEastAsia"/>
                      <w:snapToGrid w:val="0"/>
                      <w:kern w:val="0"/>
                    </w:rPr>
                  </w:pPr>
                  <w:r>
                    <w:rPr>
                      <w:rFonts w:eastAsiaTheme="minorEastAsia"/>
                      <w:snapToGrid w:val="0"/>
                      <w:kern w:val="0"/>
                    </w:rPr>
                    <w:t>K5.0/K3.5</w:t>
                  </w:r>
                </w:p>
              </w:tc>
              <w:tc>
                <w:tcPr>
                  <w:tcW w:w="1356"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装卸设备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493"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3</w:t>
                  </w:r>
                </w:p>
              </w:tc>
              <w:tc>
                <w:tcPr>
                  <w:tcW w:w="1121" w:type="pct"/>
                  <w:vAlign w:val="center"/>
                </w:tcPr>
                <w:p>
                  <w:pPr>
                    <w:pStyle w:val="67"/>
                    <w:widowControl w:val="0"/>
                    <w:rPr>
                      <w:rFonts w:eastAsiaTheme="minorEastAsia"/>
                      <w:snapToGrid w:val="0"/>
                      <w:kern w:val="0"/>
                    </w:rPr>
                  </w:pPr>
                  <w:r>
                    <w:rPr>
                      <w:rFonts w:eastAsiaTheme="minorEastAsia"/>
                      <w:snapToGrid w:val="0"/>
                      <w:kern w:val="0"/>
                    </w:rPr>
                    <w:t>压力机</w:t>
                  </w:r>
                </w:p>
              </w:tc>
              <w:tc>
                <w:tcPr>
                  <w:tcW w:w="534"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台</w:t>
                  </w:r>
                </w:p>
              </w:tc>
              <w:tc>
                <w:tcPr>
                  <w:tcW w:w="675" w:type="pct"/>
                  <w:vAlign w:val="center"/>
                </w:tcPr>
                <w:p>
                  <w:pPr>
                    <w:pStyle w:val="67"/>
                    <w:widowControl w:val="0"/>
                    <w:rPr>
                      <w:rFonts w:eastAsiaTheme="minorEastAsia"/>
                      <w:snapToGrid w:val="0"/>
                      <w:kern w:val="0"/>
                    </w:rPr>
                  </w:pPr>
                  <w:r>
                    <w:rPr>
                      <w:rFonts w:eastAsiaTheme="minorEastAsia"/>
                      <w:snapToGrid w:val="0"/>
                      <w:kern w:val="0"/>
                    </w:rPr>
                    <w:t>1</w:t>
                  </w:r>
                </w:p>
              </w:tc>
              <w:tc>
                <w:tcPr>
                  <w:tcW w:w="821" w:type="pct"/>
                  <w:vAlign w:val="center"/>
                </w:tcPr>
                <w:p>
                  <w:pPr>
                    <w:pStyle w:val="67"/>
                    <w:widowControl w:val="0"/>
                    <w:rPr>
                      <w:rFonts w:eastAsiaTheme="minorEastAsia"/>
                      <w:snapToGrid w:val="0"/>
                      <w:kern w:val="0"/>
                    </w:rPr>
                  </w:pPr>
                  <w:r>
                    <w:rPr>
                      <w:rFonts w:eastAsiaTheme="minorEastAsia"/>
                      <w:snapToGrid w:val="0"/>
                      <w:kern w:val="0"/>
                    </w:rPr>
                    <w:t>20T</w:t>
                  </w:r>
                </w:p>
              </w:tc>
              <w:tc>
                <w:tcPr>
                  <w:tcW w:w="1356"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拆解工具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493"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4</w:t>
                  </w:r>
                </w:p>
              </w:tc>
              <w:tc>
                <w:tcPr>
                  <w:tcW w:w="1121" w:type="pct"/>
                  <w:vAlign w:val="center"/>
                </w:tcPr>
                <w:p>
                  <w:pPr>
                    <w:pStyle w:val="67"/>
                    <w:widowControl w:val="0"/>
                    <w:rPr>
                      <w:rFonts w:eastAsiaTheme="minorEastAsia"/>
                      <w:snapToGrid w:val="0"/>
                      <w:kern w:val="0"/>
                    </w:rPr>
                  </w:pPr>
                  <w:r>
                    <w:rPr>
                      <w:rFonts w:eastAsiaTheme="minorEastAsia"/>
                      <w:snapToGrid w:val="0"/>
                      <w:kern w:val="0"/>
                    </w:rPr>
                    <w:t>千斤顶</w:t>
                  </w:r>
                </w:p>
              </w:tc>
              <w:tc>
                <w:tcPr>
                  <w:tcW w:w="534"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套</w:t>
                  </w:r>
                </w:p>
              </w:tc>
              <w:tc>
                <w:tcPr>
                  <w:tcW w:w="675" w:type="pct"/>
                  <w:vAlign w:val="center"/>
                </w:tcPr>
                <w:p>
                  <w:pPr>
                    <w:pStyle w:val="67"/>
                    <w:widowControl w:val="0"/>
                    <w:rPr>
                      <w:rFonts w:eastAsiaTheme="minorEastAsia"/>
                      <w:snapToGrid w:val="0"/>
                      <w:kern w:val="0"/>
                    </w:rPr>
                  </w:pPr>
                  <w:r>
                    <w:rPr>
                      <w:rFonts w:eastAsiaTheme="minorEastAsia"/>
                      <w:snapToGrid w:val="0"/>
                      <w:kern w:val="0"/>
                    </w:rPr>
                    <w:t>2</w:t>
                  </w:r>
                </w:p>
              </w:tc>
              <w:tc>
                <w:tcPr>
                  <w:tcW w:w="821" w:type="pct"/>
                  <w:vAlign w:val="center"/>
                </w:tcPr>
                <w:p>
                  <w:pPr>
                    <w:pStyle w:val="67"/>
                    <w:widowControl w:val="0"/>
                    <w:rPr>
                      <w:rFonts w:eastAsiaTheme="minorEastAsia"/>
                      <w:snapToGrid w:val="0"/>
                      <w:kern w:val="0"/>
                    </w:rPr>
                  </w:pPr>
                  <w:r>
                    <w:rPr>
                      <w:rFonts w:eastAsiaTheme="minorEastAsia"/>
                      <w:snapToGrid w:val="0"/>
                      <w:kern w:val="0"/>
                    </w:rPr>
                    <w:t>/</w:t>
                  </w:r>
                </w:p>
              </w:tc>
              <w:tc>
                <w:tcPr>
                  <w:tcW w:w="1356"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拆解工具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493"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5</w:t>
                  </w:r>
                </w:p>
              </w:tc>
              <w:tc>
                <w:tcPr>
                  <w:tcW w:w="1121" w:type="pct"/>
                  <w:vAlign w:val="center"/>
                </w:tcPr>
                <w:p>
                  <w:pPr>
                    <w:pStyle w:val="67"/>
                    <w:widowControl w:val="0"/>
                    <w:rPr>
                      <w:rFonts w:eastAsiaTheme="minorEastAsia"/>
                      <w:snapToGrid w:val="0"/>
                      <w:kern w:val="0"/>
                    </w:rPr>
                  </w:pPr>
                  <w:r>
                    <w:rPr>
                      <w:rFonts w:eastAsiaTheme="minorEastAsia"/>
                      <w:snapToGrid w:val="0"/>
                      <w:kern w:val="0"/>
                    </w:rPr>
                    <w:t>通用扳手</w:t>
                  </w:r>
                </w:p>
              </w:tc>
              <w:tc>
                <w:tcPr>
                  <w:tcW w:w="534"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套</w:t>
                  </w:r>
                </w:p>
              </w:tc>
              <w:tc>
                <w:tcPr>
                  <w:tcW w:w="675" w:type="pct"/>
                  <w:vAlign w:val="center"/>
                </w:tcPr>
                <w:p>
                  <w:pPr>
                    <w:pStyle w:val="67"/>
                    <w:widowControl w:val="0"/>
                    <w:rPr>
                      <w:rFonts w:eastAsiaTheme="minorEastAsia"/>
                      <w:snapToGrid w:val="0"/>
                      <w:kern w:val="0"/>
                    </w:rPr>
                  </w:pPr>
                  <w:r>
                    <w:rPr>
                      <w:rFonts w:eastAsiaTheme="minorEastAsia"/>
                      <w:snapToGrid w:val="0"/>
                      <w:kern w:val="0"/>
                    </w:rPr>
                    <w:t>4</w:t>
                  </w:r>
                </w:p>
              </w:tc>
              <w:tc>
                <w:tcPr>
                  <w:tcW w:w="821" w:type="pct"/>
                  <w:vAlign w:val="center"/>
                </w:tcPr>
                <w:p>
                  <w:pPr>
                    <w:pStyle w:val="67"/>
                    <w:widowControl w:val="0"/>
                    <w:rPr>
                      <w:rFonts w:eastAsiaTheme="minorEastAsia"/>
                      <w:snapToGrid w:val="0"/>
                      <w:kern w:val="0"/>
                    </w:rPr>
                  </w:pPr>
                  <w:r>
                    <w:rPr>
                      <w:rFonts w:eastAsiaTheme="minorEastAsia"/>
                      <w:snapToGrid w:val="0"/>
                      <w:kern w:val="0"/>
                    </w:rPr>
                    <w:t>/</w:t>
                  </w:r>
                </w:p>
              </w:tc>
              <w:tc>
                <w:tcPr>
                  <w:tcW w:w="1356"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拆解工具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493"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6</w:t>
                  </w:r>
                </w:p>
              </w:tc>
              <w:tc>
                <w:tcPr>
                  <w:tcW w:w="1121" w:type="pct"/>
                  <w:vAlign w:val="center"/>
                </w:tcPr>
                <w:p>
                  <w:pPr>
                    <w:pStyle w:val="67"/>
                    <w:widowControl w:val="0"/>
                    <w:rPr>
                      <w:rFonts w:eastAsiaTheme="minorEastAsia"/>
                      <w:snapToGrid w:val="0"/>
                      <w:kern w:val="0"/>
                    </w:rPr>
                  </w:pPr>
                  <w:r>
                    <w:rPr>
                      <w:rFonts w:eastAsiaTheme="minorEastAsia"/>
                      <w:snapToGrid w:val="0"/>
                      <w:kern w:val="0"/>
                    </w:rPr>
                    <w:t>手电钻</w:t>
                  </w:r>
                </w:p>
              </w:tc>
              <w:tc>
                <w:tcPr>
                  <w:tcW w:w="534"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台</w:t>
                  </w:r>
                </w:p>
              </w:tc>
              <w:tc>
                <w:tcPr>
                  <w:tcW w:w="675" w:type="pct"/>
                  <w:vAlign w:val="center"/>
                </w:tcPr>
                <w:p>
                  <w:pPr>
                    <w:pStyle w:val="67"/>
                    <w:widowControl w:val="0"/>
                    <w:rPr>
                      <w:rFonts w:eastAsiaTheme="minorEastAsia"/>
                      <w:snapToGrid w:val="0"/>
                      <w:kern w:val="0"/>
                    </w:rPr>
                  </w:pPr>
                  <w:r>
                    <w:rPr>
                      <w:rFonts w:eastAsiaTheme="minorEastAsia"/>
                      <w:snapToGrid w:val="0"/>
                      <w:kern w:val="0"/>
                    </w:rPr>
                    <w:t>1</w:t>
                  </w:r>
                </w:p>
              </w:tc>
              <w:tc>
                <w:tcPr>
                  <w:tcW w:w="821" w:type="pct"/>
                  <w:vAlign w:val="center"/>
                </w:tcPr>
                <w:p>
                  <w:pPr>
                    <w:pStyle w:val="67"/>
                    <w:widowControl w:val="0"/>
                    <w:rPr>
                      <w:rFonts w:eastAsiaTheme="minorEastAsia"/>
                      <w:snapToGrid w:val="0"/>
                      <w:kern w:val="0"/>
                    </w:rPr>
                  </w:pPr>
                  <w:r>
                    <w:rPr>
                      <w:rFonts w:eastAsiaTheme="minorEastAsia"/>
                      <w:snapToGrid w:val="0"/>
                      <w:kern w:val="0"/>
                    </w:rPr>
                    <w:t>FF-10A</w:t>
                  </w:r>
                </w:p>
              </w:tc>
              <w:tc>
                <w:tcPr>
                  <w:tcW w:w="1356"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拆解工具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493"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7</w:t>
                  </w:r>
                </w:p>
              </w:tc>
              <w:tc>
                <w:tcPr>
                  <w:tcW w:w="1121" w:type="pct"/>
                  <w:vAlign w:val="center"/>
                </w:tcPr>
                <w:p>
                  <w:pPr>
                    <w:pStyle w:val="67"/>
                    <w:widowControl w:val="0"/>
                    <w:rPr>
                      <w:rFonts w:eastAsiaTheme="minorEastAsia"/>
                      <w:snapToGrid w:val="0"/>
                      <w:kern w:val="0"/>
                    </w:rPr>
                  </w:pPr>
                  <w:r>
                    <w:rPr>
                      <w:rFonts w:eastAsiaTheme="minorEastAsia"/>
                      <w:snapToGrid w:val="0"/>
                      <w:kern w:val="0"/>
                    </w:rPr>
                    <w:t>轮胎拆装机</w:t>
                  </w:r>
                </w:p>
              </w:tc>
              <w:tc>
                <w:tcPr>
                  <w:tcW w:w="534"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台</w:t>
                  </w:r>
                </w:p>
              </w:tc>
              <w:tc>
                <w:tcPr>
                  <w:tcW w:w="675" w:type="pct"/>
                  <w:vAlign w:val="center"/>
                </w:tcPr>
                <w:p>
                  <w:pPr>
                    <w:pStyle w:val="67"/>
                    <w:widowControl w:val="0"/>
                    <w:rPr>
                      <w:rFonts w:eastAsiaTheme="minorEastAsia"/>
                      <w:snapToGrid w:val="0"/>
                      <w:kern w:val="0"/>
                    </w:rPr>
                  </w:pPr>
                  <w:r>
                    <w:rPr>
                      <w:rFonts w:eastAsiaTheme="minorEastAsia"/>
                      <w:snapToGrid w:val="0"/>
                      <w:kern w:val="0"/>
                    </w:rPr>
                    <w:t>1</w:t>
                  </w:r>
                </w:p>
              </w:tc>
              <w:tc>
                <w:tcPr>
                  <w:tcW w:w="821" w:type="pct"/>
                  <w:vAlign w:val="center"/>
                </w:tcPr>
                <w:p>
                  <w:pPr>
                    <w:pStyle w:val="67"/>
                    <w:widowControl w:val="0"/>
                    <w:rPr>
                      <w:rFonts w:eastAsiaTheme="minorEastAsia"/>
                      <w:snapToGrid w:val="0"/>
                      <w:kern w:val="0"/>
                    </w:rPr>
                  </w:pPr>
                  <w:r>
                    <w:rPr>
                      <w:rFonts w:eastAsiaTheme="minorEastAsia"/>
                      <w:snapToGrid w:val="0"/>
                      <w:kern w:val="0"/>
                    </w:rPr>
                    <w:t>/</w:t>
                  </w:r>
                </w:p>
              </w:tc>
              <w:tc>
                <w:tcPr>
                  <w:tcW w:w="1356"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拆解工具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493"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8</w:t>
                  </w:r>
                </w:p>
              </w:tc>
              <w:tc>
                <w:tcPr>
                  <w:tcW w:w="1121" w:type="pct"/>
                  <w:vAlign w:val="center"/>
                </w:tcPr>
                <w:p>
                  <w:pPr>
                    <w:pStyle w:val="67"/>
                    <w:widowControl w:val="0"/>
                    <w:rPr>
                      <w:rFonts w:eastAsiaTheme="minorEastAsia"/>
                      <w:snapToGrid w:val="0"/>
                      <w:kern w:val="0"/>
                    </w:rPr>
                  </w:pPr>
                  <w:r>
                    <w:rPr>
                      <w:rFonts w:eastAsiaTheme="minorEastAsia"/>
                      <w:snapToGrid w:val="0"/>
                      <w:kern w:val="0"/>
                    </w:rPr>
                    <w:t>二柱举升机</w:t>
                  </w:r>
                </w:p>
              </w:tc>
              <w:tc>
                <w:tcPr>
                  <w:tcW w:w="534"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台</w:t>
                  </w:r>
                </w:p>
              </w:tc>
              <w:tc>
                <w:tcPr>
                  <w:tcW w:w="675" w:type="pct"/>
                  <w:vAlign w:val="center"/>
                </w:tcPr>
                <w:p>
                  <w:pPr>
                    <w:pStyle w:val="67"/>
                    <w:widowControl w:val="0"/>
                    <w:rPr>
                      <w:rFonts w:eastAsiaTheme="minorEastAsia"/>
                      <w:snapToGrid w:val="0"/>
                      <w:kern w:val="0"/>
                    </w:rPr>
                  </w:pPr>
                  <w:r>
                    <w:rPr>
                      <w:rFonts w:eastAsiaTheme="minorEastAsia"/>
                      <w:snapToGrid w:val="0"/>
                      <w:kern w:val="0"/>
                    </w:rPr>
                    <w:t>1</w:t>
                  </w:r>
                </w:p>
              </w:tc>
              <w:tc>
                <w:tcPr>
                  <w:tcW w:w="821" w:type="pct"/>
                  <w:vAlign w:val="center"/>
                </w:tcPr>
                <w:p>
                  <w:pPr>
                    <w:pStyle w:val="67"/>
                    <w:widowControl w:val="0"/>
                    <w:rPr>
                      <w:rFonts w:eastAsiaTheme="minorEastAsia"/>
                      <w:snapToGrid w:val="0"/>
                      <w:kern w:val="0"/>
                    </w:rPr>
                  </w:pPr>
                  <w:r>
                    <w:rPr>
                      <w:rFonts w:eastAsiaTheme="minorEastAsia"/>
                      <w:snapToGrid w:val="0"/>
                      <w:kern w:val="0"/>
                    </w:rPr>
                    <w:t>A22701</w:t>
                  </w:r>
                </w:p>
              </w:tc>
              <w:tc>
                <w:tcPr>
                  <w:tcW w:w="1356"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拆解工具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493"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9</w:t>
                  </w:r>
                </w:p>
              </w:tc>
              <w:tc>
                <w:tcPr>
                  <w:tcW w:w="1121" w:type="pct"/>
                  <w:vAlign w:val="center"/>
                </w:tcPr>
                <w:p>
                  <w:pPr>
                    <w:pStyle w:val="67"/>
                    <w:widowControl w:val="0"/>
                    <w:rPr>
                      <w:rFonts w:eastAsiaTheme="minorEastAsia"/>
                      <w:snapToGrid w:val="0"/>
                      <w:kern w:val="0"/>
                    </w:rPr>
                  </w:pPr>
                  <w:r>
                    <w:rPr>
                      <w:rFonts w:eastAsiaTheme="minorEastAsia"/>
                      <w:snapToGrid w:val="0"/>
                      <w:kern w:val="0"/>
                    </w:rPr>
                    <w:t>充电机</w:t>
                  </w:r>
                </w:p>
              </w:tc>
              <w:tc>
                <w:tcPr>
                  <w:tcW w:w="534"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台</w:t>
                  </w:r>
                </w:p>
              </w:tc>
              <w:tc>
                <w:tcPr>
                  <w:tcW w:w="675" w:type="pct"/>
                  <w:vAlign w:val="center"/>
                </w:tcPr>
                <w:p>
                  <w:pPr>
                    <w:pStyle w:val="67"/>
                    <w:widowControl w:val="0"/>
                    <w:rPr>
                      <w:rFonts w:eastAsiaTheme="minorEastAsia"/>
                      <w:snapToGrid w:val="0"/>
                      <w:kern w:val="0"/>
                    </w:rPr>
                  </w:pPr>
                  <w:r>
                    <w:rPr>
                      <w:rFonts w:eastAsiaTheme="minorEastAsia"/>
                      <w:snapToGrid w:val="0"/>
                      <w:kern w:val="0"/>
                    </w:rPr>
                    <w:t>1</w:t>
                  </w:r>
                </w:p>
              </w:tc>
              <w:tc>
                <w:tcPr>
                  <w:tcW w:w="821" w:type="pct"/>
                  <w:vAlign w:val="center"/>
                </w:tcPr>
                <w:p>
                  <w:pPr>
                    <w:pStyle w:val="67"/>
                    <w:widowControl w:val="0"/>
                    <w:rPr>
                      <w:rFonts w:eastAsiaTheme="minorEastAsia"/>
                      <w:snapToGrid w:val="0"/>
                      <w:kern w:val="0"/>
                    </w:rPr>
                  </w:pPr>
                  <w:r>
                    <w:rPr>
                      <w:rFonts w:eastAsiaTheme="minorEastAsia"/>
                      <w:snapToGrid w:val="0"/>
                      <w:kern w:val="0"/>
                    </w:rPr>
                    <w:t>1200A</w:t>
                  </w:r>
                </w:p>
              </w:tc>
              <w:tc>
                <w:tcPr>
                  <w:tcW w:w="1356"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拆解工具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493"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10</w:t>
                  </w:r>
                </w:p>
              </w:tc>
              <w:tc>
                <w:tcPr>
                  <w:tcW w:w="1121" w:type="pct"/>
                  <w:vAlign w:val="center"/>
                </w:tcPr>
                <w:p>
                  <w:pPr>
                    <w:pStyle w:val="67"/>
                    <w:widowControl w:val="0"/>
                    <w:rPr>
                      <w:rFonts w:eastAsiaTheme="minorEastAsia"/>
                      <w:snapToGrid w:val="0"/>
                      <w:kern w:val="0"/>
                    </w:rPr>
                  </w:pPr>
                  <w:r>
                    <w:rPr>
                      <w:rFonts w:eastAsiaTheme="minorEastAsia"/>
                      <w:snapToGrid w:val="0"/>
                      <w:kern w:val="0"/>
                    </w:rPr>
                    <w:t>钳工工具</w:t>
                  </w:r>
                </w:p>
              </w:tc>
              <w:tc>
                <w:tcPr>
                  <w:tcW w:w="534"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套</w:t>
                  </w:r>
                </w:p>
              </w:tc>
              <w:tc>
                <w:tcPr>
                  <w:tcW w:w="675" w:type="pct"/>
                  <w:vAlign w:val="center"/>
                </w:tcPr>
                <w:p>
                  <w:pPr>
                    <w:pStyle w:val="67"/>
                    <w:widowControl w:val="0"/>
                    <w:rPr>
                      <w:rFonts w:eastAsiaTheme="minorEastAsia"/>
                      <w:snapToGrid w:val="0"/>
                      <w:kern w:val="0"/>
                    </w:rPr>
                  </w:pPr>
                  <w:r>
                    <w:rPr>
                      <w:rFonts w:eastAsiaTheme="minorEastAsia"/>
                      <w:snapToGrid w:val="0"/>
                      <w:kern w:val="0"/>
                    </w:rPr>
                    <w:t>1</w:t>
                  </w:r>
                </w:p>
              </w:tc>
              <w:tc>
                <w:tcPr>
                  <w:tcW w:w="821" w:type="pct"/>
                  <w:vAlign w:val="center"/>
                </w:tcPr>
                <w:p>
                  <w:pPr>
                    <w:pStyle w:val="67"/>
                    <w:widowControl w:val="0"/>
                    <w:rPr>
                      <w:rFonts w:eastAsiaTheme="minorEastAsia"/>
                      <w:snapToGrid w:val="0"/>
                      <w:kern w:val="0"/>
                    </w:rPr>
                  </w:pPr>
                  <w:r>
                    <w:rPr>
                      <w:rFonts w:eastAsiaTheme="minorEastAsia"/>
                      <w:snapToGrid w:val="0"/>
                      <w:kern w:val="0"/>
                    </w:rPr>
                    <w:t>/</w:t>
                  </w:r>
                </w:p>
              </w:tc>
              <w:tc>
                <w:tcPr>
                  <w:tcW w:w="1356" w:type="pct"/>
                  <w:vAlign w:val="center"/>
                </w:tcPr>
                <w:p>
                  <w:pPr>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拆解工具</w:t>
                  </w:r>
                </w:p>
              </w:tc>
            </w:tr>
          </w:tbl>
          <w:p>
            <w:pPr>
              <w:pStyle w:val="2"/>
              <w:spacing w:line="360" w:lineRule="auto"/>
              <w:jc w:val="both"/>
              <w:rPr>
                <w:rFonts w:ascii="Times New Roman" w:hAnsi="Times New Roman" w:eastAsiaTheme="minorEastAsia"/>
                <w:b/>
                <w:bCs/>
                <w:color w:val="auto"/>
              </w:rPr>
            </w:pPr>
            <w:r>
              <w:rPr>
                <w:rFonts w:ascii="Times New Roman" w:hAnsi="Times New Roman" w:eastAsiaTheme="minorEastAsia"/>
                <w:b/>
                <w:bCs/>
                <w:color w:val="auto"/>
              </w:rPr>
              <w:t>4.原辅材料消耗及水平衡</w:t>
            </w:r>
          </w:p>
          <w:p>
            <w:pPr>
              <w:adjustRightInd w:val="0"/>
              <w:spacing w:line="360" w:lineRule="auto"/>
              <w:jc w:val="left"/>
              <w:outlineLvl w:val="1"/>
              <w:rPr>
                <w:rFonts w:ascii="Times New Roman" w:hAnsi="Times New Roman" w:eastAsiaTheme="minorEastAsia"/>
                <w:b/>
                <w:bCs/>
                <w:sz w:val="24"/>
              </w:rPr>
            </w:pPr>
            <w:bookmarkStart w:id="31" w:name="_Toc14710"/>
            <w:r>
              <w:rPr>
                <w:rFonts w:ascii="Times New Roman" w:hAnsi="Times New Roman" w:eastAsiaTheme="minorEastAsia"/>
                <w:b/>
                <w:bCs/>
                <w:sz w:val="24"/>
              </w:rPr>
              <w:t>原辅材料消耗</w:t>
            </w:r>
          </w:p>
          <w:p>
            <w:pPr>
              <w:spacing w:line="360" w:lineRule="auto"/>
              <w:ind w:firstLine="480"/>
              <w:rPr>
                <w:rFonts w:ascii="Times New Roman" w:hAnsi="Times New Roman" w:eastAsiaTheme="minorEastAsia"/>
              </w:rPr>
            </w:pPr>
            <w:r>
              <w:rPr>
                <w:rFonts w:ascii="Times New Roman" w:hAnsi="Times New Roman" w:eastAsiaTheme="minorEastAsia"/>
                <w:sz w:val="24"/>
              </w:rPr>
              <w:t>本项目主要原辅材料及用量见下表。</w:t>
            </w:r>
          </w:p>
          <w:p>
            <w:pPr>
              <w:spacing w:line="360" w:lineRule="auto"/>
              <w:ind w:firstLine="480"/>
              <w:jc w:val="center"/>
              <w:rPr>
                <w:rFonts w:ascii="Times New Roman" w:hAnsi="Times New Roman" w:eastAsiaTheme="minorEastAsia"/>
                <w:b/>
                <w:bCs/>
                <w:sz w:val="24"/>
              </w:rPr>
            </w:pPr>
            <w:r>
              <w:rPr>
                <w:rFonts w:ascii="Times New Roman" w:hAnsi="Times New Roman" w:eastAsiaTheme="minorEastAsia"/>
                <w:b/>
                <w:bCs/>
                <w:sz w:val="24"/>
              </w:rPr>
              <w:t>表2-3主要原辅材料及用量</w:t>
            </w:r>
          </w:p>
          <w:tbl>
            <w:tblPr>
              <w:tblStyle w:val="2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2284"/>
              <w:gridCol w:w="2558"/>
              <w:gridCol w:w="33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614"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序号</w:t>
                  </w:r>
                </w:p>
              </w:tc>
              <w:tc>
                <w:tcPr>
                  <w:tcW w:w="1224"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名称</w:t>
                  </w:r>
                </w:p>
              </w:tc>
              <w:tc>
                <w:tcPr>
                  <w:tcW w:w="1371"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年耗用量</w:t>
                  </w:r>
                </w:p>
              </w:tc>
              <w:tc>
                <w:tcPr>
                  <w:tcW w:w="1791"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1</w:t>
                  </w:r>
                </w:p>
              </w:tc>
              <w:tc>
                <w:tcPr>
                  <w:tcW w:w="1224"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报废农机</w:t>
                  </w:r>
                </w:p>
              </w:tc>
              <w:tc>
                <w:tcPr>
                  <w:tcW w:w="1371"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1000台</w:t>
                  </w:r>
                </w:p>
              </w:tc>
              <w:tc>
                <w:tcPr>
                  <w:tcW w:w="1791"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桦川县农机用户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614"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2</w:t>
                  </w:r>
                </w:p>
              </w:tc>
              <w:tc>
                <w:tcPr>
                  <w:tcW w:w="1224"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新鲜水</w:t>
                  </w:r>
                </w:p>
              </w:tc>
              <w:tc>
                <w:tcPr>
                  <w:tcW w:w="1371"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 xml:space="preserve"> 450t/a</w:t>
                  </w:r>
                </w:p>
              </w:tc>
              <w:tc>
                <w:tcPr>
                  <w:tcW w:w="1791" w:type="pct"/>
                  <w:vAlign w:val="center"/>
                </w:tcPr>
                <w:p>
                  <w:pPr>
                    <w:adjustRightInd w:val="0"/>
                    <w:snapToGrid w:val="0"/>
                    <w:jc w:val="center"/>
                    <w:rPr>
                      <w:rFonts w:ascii="Times New Roman" w:hAnsi="Times New Roman" w:eastAsiaTheme="minorEastAsia"/>
                      <w:snapToGrid w:val="0"/>
                      <w:kern w:val="0"/>
                      <w:szCs w:val="21"/>
                    </w:rPr>
                  </w:pPr>
                  <w:r>
                    <w:rPr>
                      <w:rFonts w:ascii="Times New Roman" w:hAnsi="Times New Roman" w:eastAsiaTheme="minorEastAsia"/>
                      <w:snapToGrid w:val="0"/>
                      <w:kern w:val="0"/>
                      <w:szCs w:val="21"/>
                    </w:rPr>
                    <w:t>市政供水</w:t>
                  </w:r>
                </w:p>
              </w:tc>
            </w:tr>
          </w:tbl>
          <w:p>
            <w:pPr>
              <w:pStyle w:val="2"/>
              <w:jc w:val="both"/>
              <w:rPr>
                <w:rFonts w:ascii="Times New Roman" w:hAnsi="Times New Roman"/>
              </w:rPr>
            </w:pPr>
            <w:r>
              <w:rPr>
                <w:rFonts w:ascii="Times New Roman" w:hAnsi="Times New Roman" w:eastAsiaTheme="minorEastAsia"/>
                <w:b/>
                <w:color w:val="FF0000"/>
                <w:kern w:val="44"/>
              </w:rPr>
              <mc:AlternateContent>
                <mc:Choice Requires="wps">
                  <w:drawing>
                    <wp:anchor distT="0" distB="0" distL="114300" distR="114300" simplePos="0" relativeHeight="251689984" behindDoc="0" locked="0" layoutInCell="1" allowOverlap="1">
                      <wp:simplePos x="0" y="0"/>
                      <wp:positionH relativeFrom="column">
                        <wp:posOffset>1664970</wp:posOffset>
                      </wp:positionH>
                      <wp:positionV relativeFrom="paragraph">
                        <wp:posOffset>123190</wp:posOffset>
                      </wp:positionV>
                      <wp:extent cx="871220" cy="267335"/>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871268"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t>87.6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pt;margin-top:9.7pt;height:21.05pt;width:68.6pt;z-index:251689984;mso-width-relative:page;mso-height-relative:page;" filled="f" stroked="f" coordsize="21600,21600" o:gfxdata="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sYqmdoAAAAJAQAADwAAAAAAAAABACAA&#10;AAAiAAAAZHJzL2Rvd25yZXYueG1sUEsBAhQAFAAAAAgAh07iQFG3q4hEAgAAdwQAAA4AAAAAAAAA&#10;AQAgAAAAKQEAAGRycy9lMm9Eb2MueG1sUEsFBgAAAAAGAAYAWQEAAN8FAAAAAA==&#10;">
                      <v:fill on="f" focussize="0,0"/>
                      <v:stroke on="f" weight="0.5pt"/>
                      <v:imagedata o:title=""/>
                      <o:lock v:ext="edit" aspectratio="f"/>
                      <v:textbox>
                        <w:txbxContent>
                          <w:p>
                            <w:r>
                              <w:t>87.6</w:t>
                            </w:r>
                          </w:p>
                        </w:txbxContent>
                      </v:textbox>
                    </v:shape>
                  </w:pict>
                </mc:Fallback>
              </mc:AlternateContent>
            </w:r>
          </w:p>
          <w:p>
            <w:pPr>
              <w:pStyle w:val="2"/>
              <w:jc w:val="both"/>
              <w:rPr>
                <w:rFonts w:ascii="Times New Roman" w:hAnsi="Times New Roman"/>
              </w:rPr>
            </w:pPr>
            <w:r>
              <w:rPr>
                <w:rFonts w:ascii="Times New Roman" w:hAnsi="Times New Roman"/>
              </w:rPr>
              <mc:AlternateContent>
                <mc:Choice Requires="wps">
                  <w:drawing>
                    <wp:anchor distT="0" distB="0" distL="114300" distR="114300" simplePos="0" relativeHeight="251687936" behindDoc="0" locked="0" layoutInCell="1" allowOverlap="1">
                      <wp:simplePos x="0" y="0"/>
                      <wp:positionH relativeFrom="column">
                        <wp:posOffset>1664335</wp:posOffset>
                      </wp:positionH>
                      <wp:positionV relativeFrom="paragraph">
                        <wp:posOffset>183515</wp:posOffset>
                      </wp:positionV>
                      <wp:extent cx="198120" cy="241300"/>
                      <wp:effectExtent l="0" t="38100" r="49530" b="25400"/>
                      <wp:wrapNone/>
                      <wp:docPr id="155" name="曲线连接符 155"/>
                      <wp:cNvGraphicFramePr/>
                      <a:graphic xmlns:a="http://schemas.openxmlformats.org/drawingml/2006/main">
                        <a:graphicData uri="http://schemas.microsoft.com/office/word/2010/wordprocessingShape">
                          <wps:wsp>
                            <wps:cNvCnPr/>
                            <wps:spPr>
                              <a:xfrm flipV="1">
                                <a:off x="0" y="0"/>
                                <a:ext cx="198407" cy="241539"/>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31.05pt;margin-top:14.45pt;height:19pt;width:15.6pt;z-index:251687936;mso-width-relative:page;mso-height-relative:page;" filled="f" stroked="t" coordsize="21600,21600" o:gfxdata="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MhkXzUAAAACQEAAA8AAAAAAAAAAQAgAAAA&#10;IgAAAGRycy9kb3ducmV2LnhtbFBLAQIUABQAAAAIAIdO4kCBNurcDwIAAOoDAAAOAAAAAAAAAAEA&#10;IAAAACMBAABkcnMvZTJvRG9jLnhtbFBLBQYAAAAABgAGAFkBAACkBQAAAAA=&#10;" adj="10800">
                      <v:fill on="f" focussize="0,0"/>
                      <v:stroke weight="0.5pt" color="#000000 [3213]" miterlimit="8" joinstyle="miter" dashstyle="dash" endarrow="block"/>
                      <v:imagedata o:title=""/>
                      <o:lock v:ext="edit" aspectratio="f"/>
                    </v:shape>
                  </w:pict>
                </mc:Fallback>
              </mc:AlternateContent>
            </w:r>
          </w:p>
          <w:p>
            <w:pPr>
              <w:rPr>
                <w:rFonts w:ascii="Times New Roman" w:hAnsi="Times New Roman"/>
              </w:rPr>
            </w:pPr>
            <w:r>
              <w:rPr>
                <w:rFonts w:ascii="Times New Roman" w:hAnsi="Times New Roman" w:eastAsiaTheme="minorEastAsia"/>
                <w:b/>
                <w:color w:val="FF0000"/>
                <w:kern w:val="44"/>
                <w:sz w:val="24"/>
              </w:rPr>
              <mc:AlternateContent>
                <mc:Choice Requires="wps">
                  <w:drawing>
                    <wp:anchor distT="0" distB="0" distL="114300" distR="114300" simplePos="0" relativeHeight="251688960" behindDoc="0" locked="0" layoutInCell="1" allowOverlap="1">
                      <wp:simplePos x="0" y="0"/>
                      <wp:positionH relativeFrom="column">
                        <wp:posOffset>578485</wp:posOffset>
                      </wp:positionH>
                      <wp:positionV relativeFrom="paragraph">
                        <wp:posOffset>97790</wp:posOffset>
                      </wp:positionV>
                      <wp:extent cx="871220" cy="267335"/>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871268"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t>438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5pt;margin-top:7.7pt;height:21.05pt;width:68.6pt;z-index:251688960;mso-width-relative:page;mso-height-relative:page;" filled="f" stroked="f" coordsize="21600,21600" o:gfxdata="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gSHwfZAAAACAEAAA8AAAAAAAAAAQAgAAAA&#10;IgAAAGRycy9kb3ducmV2LnhtbFBLAQIUABQAAAAIAIdO4kCA55lRQwIAAHcEAAAOAAAAAAAAAAEA&#10;IAAAACgBAABkcnMvZTJvRG9jLnhtbFBLBQYAAAAABgAGAFkBAADdBQAAAAA=&#10;">
                      <v:fill on="f" focussize="0,0"/>
                      <v:stroke on="f" weight="0.5pt"/>
                      <v:imagedata o:title=""/>
                      <o:lock v:ext="edit" aspectratio="f"/>
                      <v:textbox>
                        <w:txbxContent>
                          <w:p>
                            <w:r>
                              <w:t>438</w:t>
                            </w:r>
                          </w:p>
                        </w:txbxContent>
                      </v:textbox>
                    </v:shape>
                  </w:pict>
                </mc:Fallback>
              </mc:AlternateContent>
            </w:r>
            <w:r>
              <w:rPr>
                <w:rFonts w:ascii="Times New Roman" w:hAnsi="Times New Roman" w:eastAsiaTheme="minorEastAsia"/>
                <w:b/>
                <w:color w:val="FF0000"/>
                <w:kern w:val="44"/>
                <w:sz w:val="24"/>
              </w:rPr>
              <mc:AlternateContent>
                <mc:Choice Requires="wps">
                  <w:drawing>
                    <wp:anchor distT="0" distB="0" distL="114300" distR="114300" simplePos="0" relativeHeight="251683840" behindDoc="0" locked="0" layoutInCell="1" allowOverlap="1">
                      <wp:simplePos x="0" y="0"/>
                      <wp:positionH relativeFrom="column">
                        <wp:posOffset>2027555</wp:posOffset>
                      </wp:positionH>
                      <wp:positionV relativeFrom="paragraph">
                        <wp:posOffset>109855</wp:posOffset>
                      </wp:positionV>
                      <wp:extent cx="871220" cy="26733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871268"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350.4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8.65pt;height:21.05pt;width:68.6pt;z-index:251683840;mso-width-relative:page;mso-height-relative:page;" filled="f" stroked="f" coordsize="21600,21600" o:gfxdata="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DQSc9sAAAAJAQAADwAAAAAAAAABACAA&#10;AAAiAAAAZHJzL2Rvd25yZXYueG1sUEsBAhQAFAAAAAgAh07iQHRflTNDAgAAdwQAAA4AAAAAAAAA&#10;AQAgAAAAKgEAAGRycy9lMm9Eb2MueG1sUEsFBgAAAAAGAAYAWQEAAN8FAAAAAA==&#10;">
                      <v:fill on="f" focussize="0,0"/>
                      <v:stroke on="f" weight="0.5pt"/>
                      <v:imagedata o:title=""/>
                      <o:lock v:ext="edit" aspectratio="f"/>
                      <v:textbox>
                        <w:txbxContent>
                          <w:p>
                            <w:r>
                              <w:rPr>
                                <w:rFonts w:hint="eastAsia"/>
                              </w:rPr>
                              <w:t>350.4</w:t>
                            </w:r>
                          </w:p>
                        </w:txbxContent>
                      </v:textbox>
                    </v:shape>
                  </w:pict>
                </mc:Fallback>
              </mc:AlternateContent>
            </w:r>
          </w:p>
          <w:p>
            <w:pPr>
              <w:pStyle w:val="2"/>
              <w:jc w:val="both"/>
              <w:rPr>
                <w:rFonts w:ascii="Times New Roman" w:hAnsi="Times New Roman"/>
              </w:rPr>
            </w:pPr>
            <w:r>
              <w:rPr>
                <w:rFonts w:ascii="Times New Roman" w:hAnsi="Times New Roman" w:eastAsiaTheme="minorEastAsia"/>
                <w:b/>
                <w:color w:val="FF0000"/>
                <w:kern w:val="44"/>
              </w:rPr>
              <mc:AlternateContent>
                <mc:Choice Requires="wps">
                  <w:drawing>
                    <wp:anchor distT="0" distB="0" distL="114300" distR="114300" simplePos="0" relativeHeight="251686912" behindDoc="0" locked="0" layoutInCell="1" allowOverlap="1">
                      <wp:simplePos x="0" y="0"/>
                      <wp:positionH relativeFrom="column">
                        <wp:posOffset>3794760</wp:posOffset>
                      </wp:positionH>
                      <wp:positionV relativeFrom="paragraph">
                        <wp:posOffset>28575</wp:posOffset>
                      </wp:positionV>
                      <wp:extent cx="1009015" cy="267335"/>
                      <wp:effectExtent l="0" t="0" r="19685" b="18415"/>
                      <wp:wrapNone/>
                      <wp:docPr id="154" name="文本框 154"/>
                      <wp:cNvGraphicFramePr/>
                      <a:graphic xmlns:a="http://schemas.openxmlformats.org/drawingml/2006/main">
                        <a:graphicData uri="http://schemas.microsoft.com/office/word/2010/wordprocessingShape">
                          <wps:wsp>
                            <wps:cNvSpPr txBox="1"/>
                            <wps:spPr>
                              <a:xfrm>
                                <a:off x="0" y="0"/>
                                <a:ext cx="1009291" cy="267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市政污水</w:t>
                                  </w:r>
                                  <w:r>
                                    <w:t>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8pt;margin-top:2.25pt;height:21.05pt;width:79.45pt;z-index:251686912;mso-width-relative:page;mso-height-relative:page;" fillcolor="#FFFFFF [3201]" filled="t" stroked="t" coordsize="21600,21600" o:gfxdata="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rxfP1QAAAAgBAAAPAAAAAAAAAAEAIAAAACIAAABkcnMvZG93bnJldi54bWxQSwECFAAUAAAACACH&#10;TuJApPPEb2ACAADJBAAADgAAAAAAAAABACAAAAAkAQAAZHJzL2Uyb0RvYy54bWxQSwUGAAAAAAYA&#10;BgBZAQAA9gUAAAAA&#10;">
                      <v:fill on="t" focussize="0,0"/>
                      <v:stroke weight="0.5pt" color="#000000 [3204]" joinstyle="round"/>
                      <v:imagedata o:title=""/>
                      <o:lock v:ext="edit" aspectratio="f"/>
                      <v:textbox>
                        <w:txbxContent>
                          <w:p>
                            <w:r>
                              <w:rPr>
                                <w:rFonts w:hint="eastAsia"/>
                              </w:rPr>
                              <w:t>市政污水</w:t>
                            </w:r>
                            <w:r>
                              <w:t>管网</w:t>
                            </w:r>
                          </w:p>
                        </w:txbxContent>
                      </v:textbox>
                    </v:shape>
                  </w:pict>
                </mc:Fallback>
              </mc:AlternateContent>
            </w:r>
            <w:r>
              <w:rPr>
                <w:rFonts w:ascii="Times New Roman" w:hAnsi="Times New Roman" w:eastAsiaTheme="minorEastAsia"/>
                <w:b/>
                <w:color w:val="FF0000"/>
                <w:kern w:val="44"/>
              </w:rPr>
              <mc:AlternateContent>
                <mc:Choice Requires="wps">
                  <w:drawing>
                    <wp:anchor distT="0" distB="0" distL="114300" distR="114300" simplePos="0" relativeHeight="251685888" behindDoc="0" locked="0" layoutInCell="1" allowOverlap="1">
                      <wp:simplePos x="0" y="0"/>
                      <wp:positionH relativeFrom="column">
                        <wp:posOffset>3373120</wp:posOffset>
                      </wp:positionH>
                      <wp:positionV relativeFrom="paragraph">
                        <wp:posOffset>154940</wp:posOffset>
                      </wp:positionV>
                      <wp:extent cx="422910" cy="0"/>
                      <wp:effectExtent l="0" t="76200" r="15875" b="95250"/>
                      <wp:wrapNone/>
                      <wp:docPr id="153" name="直接箭头连接符 153"/>
                      <wp:cNvGraphicFramePr/>
                      <a:graphic xmlns:a="http://schemas.openxmlformats.org/drawingml/2006/main">
                        <a:graphicData uri="http://schemas.microsoft.com/office/word/2010/wordprocessingShape">
                          <wps:wsp>
                            <wps:cNvCnPr/>
                            <wps:spPr>
                              <a:xfrm>
                                <a:off x="0" y="0"/>
                                <a:ext cx="42269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5.6pt;margin-top:12.2pt;height:0pt;width:33.3pt;z-index:251685888;mso-width-relative:page;mso-height-relative:page;" filled="f" stroked="t" coordsize="21600,21600" o:gfxdata="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uskmjWAAAACQEAAA8AAAAAAAAAAQAgAAAAIgAAAGRy&#10;cy9kb3ducmV2LnhtbFBLAQIUABQAAAAIAIdO4kANYPFYBwIAAOQDAAAOAAAAAAAAAAEAIAAAACUB&#10;AABkcnMvZTJvRG9jLnhtbFBLBQYAAAAABgAGAFkBAACeBQAAAAA=&#10;">
                      <v:fill on="f" focussize="0,0"/>
                      <v:stroke weight="0.5pt" color="#000000 [3213]" miterlimit="8" joinstyle="miter" endarrow="block"/>
                      <v:imagedata o:title=""/>
                      <o:lock v:ext="edit" aspectratio="f"/>
                    </v:shape>
                  </w:pict>
                </mc:Fallback>
              </mc:AlternateContent>
            </w:r>
            <w:r>
              <w:rPr>
                <w:rFonts w:ascii="Times New Roman" w:hAnsi="Times New Roman" w:eastAsiaTheme="minorEastAsia"/>
                <w:b/>
                <w:color w:val="FF0000"/>
                <w:kern w:val="44"/>
              </w:rPr>
              <mc:AlternateContent>
                <mc:Choice Requires="wps">
                  <w:drawing>
                    <wp:anchor distT="0" distB="0" distL="114300" distR="114300" simplePos="0" relativeHeight="251684864" behindDoc="0" locked="0" layoutInCell="1" allowOverlap="1">
                      <wp:simplePos x="0" y="0"/>
                      <wp:positionH relativeFrom="column">
                        <wp:posOffset>2501900</wp:posOffset>
                      </wp:positionH>
                      <wp:positionV relativeFrom="paragraph">
                        <wp:posOffset>26670</wp:posOffset>
                      </wp:positionV>
                      <wp:extent cx="871220" cy="267335"/>
                      <wp:effectExtent l="0" t="0" r="24130" b="18415"/>
                      <wp:wrapNone/>
                      <wp:docPr id="152" name="文本框 152"/>
                      <wp:cNvGraphicFramePr/>
                      <a:graphic xmlns:a="http://schemas.openxmlformats.org/drawingml/2006/main">
                        <a:graphicData uri="http://schemas.microsoft.com/office/word/2010/wordprocessingShape">
                          <wps:wsp>
                            <wps:cNvSpPr txBox="1"/>
                            <wps:spPr>
                              <a:xfrm>
                                <a:off x="0" y="0"/>
                                <a:ext cx="871268" cy="267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pt;margin-top:2.1pt;height:21.05pt;width:68.6pt;z-index:251684864;mso-width-relative:page;mso-height-relative:page;" fillcolor="#FFFFFF [3201]" filled="t" stroked="t" coordsize="21600,21600" o:gfxdata="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E&#10;hfR+1QAAAAgBAAAPAAAAAAAAAAEAIAAAACIAAABkcnMvZG93bnJldi54bWxQSwECFAAUAAAACACH&#10;TuJAQ1kzDGACAADIBAAADgAAAAAAAAABACAAAAAkAQAAZHJzL2Uyb0RvYy54bWxQSwUGAAAAAAYA&#10;BgBZAQAA9gUAAAAA&#10;">
                      <v:fill on="t" focussize="0,0"/>
                      <v:stroke weight="0.5pt" color="#000000 [3204]" joinstyle="round"/>
                      <v:imagedata o:title=""/>
                      <o:lock v:ext="edit" aspectratio="f"/>
                      <v:textbox>
                        <w:txbxContent>
                          <w:p>
                            <w:r>
                              <w:rPr>
                                <w:rFonts w:hint="eastAsia"/>
                              </w:rPr>
                              <w:t>化粪池</w:t>
                            </w:r>
                          </w:p>
                        </w:txbxContent>
                      </v:textbox>
                    </v:shape>
                  </w:pict>
                </mc:Fallback>
              </mc:AlternateContent>
            </w:r>
            <w:r>
              <w:rPr>
                <w:rFonts w:ascii="Times New Roman" w:hAnsi="Times New Roman" w:eastAsiaTheme="minorEastAsia"/>
                <w:b/>
                <w:color w:val="FF0000"/>
                <w:kern w:val="44"/>
              </w:rPr>
              <mc:AlternateContent>
                <mc:Choice Requires="wps">
                  <w:drawing>
                    <wp:anchor distT="0" distB="0" distL="114300" distR="114300" simplePos="0" relativeHeight="251682816" behindDoc="0" locked="0" layoutInCell="1" allowOverlap="1">
                      <wp:simplePos x="0" y="0"/>
                      <wp:positionH relativeFrom="column">
                        <wp:posOffset>697865</wp:posOffset>
                      </wp:positionH>
                      <wp:positionV relativeFrom="paragraph">
                        <wp:posOffset>158750</wp:posOffset>
                      </wp:positionV>
                      <wp:extent cx="422910" cy="0"/>
                      <wp:effectExtent l="0" t="76200" r="15875" b="95250"/>
                      <wp:wrapNone/>
                      <wp:docPr id="150" name="直接箭头连接符 150"/>
                      <wp:cNvGraphicFramePr/>
                      <a:graphic xmlns:a="http://schemas.openxmlformats.org/drawingml/2006/main">
                        <a:graphicData uri="http://schemas.microsoft.com/office/word/2010/wordprocessingShape">
                          <wps:wsp>
                            <wps:cNvCnPr/>
                            <wps:spPr>
                              <a:xfrm>
                                <a:off x="0" y="0"/>
                                <a:ext cx="42269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4.95pt;margin-top:12.5pt;height:0pt;width:33.3pt;z-index:251682816;mso-width-relative:page;mso-height-relative:page;" filled="f" stroked="t" coordsize="21600,21600" o:gfxdata="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9MmEjVAAAACQEAAA8AAAAAAAAAAQAgAAAAIgAAAGRycy9k&#10;b3ducmV2LnhtbFBLAQIUABQAAAAIAIdO4kBDMIaCBQIAAOQDAAAOAAAAAAAAAAEAIAAAACQBAABk&#10;cnMvZTJvRG9jLnhtbFBLBQYAAAAABgAGAFkBAACbBQAAAAA=&#10;">
                      <v:fill on="f" focussize="0,0"/>
                      <v:stroke weight="0.5pt" color="#000000 [3213]" miterlimit="8" joinstyle="miter" endarrow="block"/>
                      <v:imagedata o:title=""/>
                      <o:lock v:ext="edit" aspectratio="f"/>
                    </v:shape>
                  </w:pict>
                </mc:Fallback>
              </mc:AlternateContent>
            </w:r>
            <w:r>
              <w:rPr>
                <w:rFonts w:ascii="Times New Roman" w:hAnsi="Times New Roman" w:eastAsiaTheme="minorEastAsia"/>
                <w:b/>
                <w:color w:val="FF0000"/>
                <w:kern w:val="44"/>
              </w:rPr>
              <mc:AlternateContent>
                <mc:Choice Requires="wps">
                  <w:drawing>
                    <wp:anchor distT="0" distB="0" distL="114300" distR="114300" simplePos="0" relativeHeight="251681792" behindDoc="0" locked="0" layoutInCell="1" allowOverlap="1">
                      <wp:simplePos x="0" y="0"/>
                      <wp:positionH relativeFrom="column">
                        <wp:posOffset>2027555</wp:posOffset>
                      </wp:positionH>
                      <wp:positionV relativeFrom="paragraph">
                        <wp:posOffset>168275</wp:posOffset>
                      </wp:positionV>
                      <wp:extent cx="422910" cy="0"/>
                      <wp:effectExtent l="0" t="76200" r="15875" b="95250"/>
                      <wp:wrapNone/>
                      <wp:docPr id="148" name="直接箭头连接符 148"/>
                      <wp:cNvGraphicFramePr/>
                      <a:graphic xmlns:a="http://schemas.openxmlformats.org/drawingml/2006/main">
                        <a:graphicData uri="http://schemas.microsoft.com/office/word/2010/wordprocessingShape">
                          <wps:wsp>
                            <wps:cNvCnPr/>
                            <wps:spPr>
                              <a:xfrm>
                                <a:off x="0" y="0"/>
                                <a:ext cx="42269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9.65pt;margin-top:13.25pt;height:0pt;width:33.3pt;z-index:251681792;mso-width-relative:page;mso-height-relative:page;" filled="f" stroked="t" coordsize="21600,21600" o:gfxdata="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rfH2NYAAAAJAQAADwAAAAAAAAABACAAAAAiAAAAZHJz&#10;L2Rvd25yZXYueG1sUEsBAhQAFAAAAAgAh07iQNJPxmcGAgAA5AMAAA4AAAAAAAAAAQAgAAAAJQEA&#10;AGRycy9lMm9Eb2MueG1sUEsFBgAAAAAGAAYAWQEAAJ0FAAAAAA==&#10;">
                      <v:fill on="f" focussize="0,0"/>
                      <v:stroke weight="0.5pt" color="#000000 [3213]" miterlimit="8" joinstyle="miter" endarrow="block"/>
                      <v:imagedata o:title=""/>
                      <o:lock v:ext="edit" aspectratio="f"/>
                    </v:shape>
                  </w:pict>
                </mc:Fallback>
              </mc:AlternateContent>
            </w:r>
            <w:r>
              <w:rPr>
                <w:rFonts w:ascii="Times New Roman" w:hAnsi="Times New Roman" w:eastAsiaTheme="minorEastAsia"/>
                <w:b/>
                <w:color w:val="FF0000"/>
                <w:kern w:val="44"/>
              </w:rPr>
              <mc:AlternateContent>
                <mc:Choice Requires="wps">
                  <w:drawing>
                    <wp:anchor distT="0" distB="0" distL="114300" distR="114300" simplePos="0" relativeHeight="251680768" behindDoc="0" locked="0" layoutInCell="1" allowOverlap="1">
                      <wp:simplePos x="0" y="0"/>
                      <wp:positionH relativeFrom="column">
                        <wp:posOffset>635</wp:posOffset>
                      </wp:positionH>
                      <wp:positionV relativeFrom="paragraph">
                        <wp:posOffset>26670</wp:posOffset>
                      </wp:positionV>
                      <wp:extent cx="871220" cy="26733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871268"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2.1pt;height:21.05pt;width:68.6pt;z-index:251680768;mso-width-relative:page;mso-height-relative:page;" filled="f" stroked="f" coordsize="21600,21600" o:gfxdata="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tVzIXVAAAABQEAAA8AAAAAAAAAAQAgAAAAIgAA&#10;AGRycy9kb3ducmV2LnhtbFBLAQIUABQAAAAIAIdO4kCrFr+9RAIAAHcEAAAOAAAAAAAAAAEAIAAA&#10;ACQBAABkcnMvZTJvRG9jLnhtbFBLBQYAAAAABgAGAFkBAADaBQAAAAA=&#10;">
                      <v:fill on="f" focussize="0,0"/>
                      <v:stroke on="f" weight="0.5pt"/>
                      <v:imagedata o:title=""/>
                      <o:lock v:ext="edit" aspectratio="f"/>
                      <v:textbox>
                        <w:txbxContent>
                          <w:p>
                            <w:r>
                              <w:rPr>
                                <w:rFonts w:hint="eastAsia"/>
                              </w:rPr>
                              <w:t>新鲜水</w:t>
                            </w:r>
                          </w:p>
                        </w:txbxContent>
                      </v:textbox>
                    </v:shape>
                  </w:pict>
                </mc:Fallback>
              </mc:AlternateContent>
            </w:r>
            <w:r>
              <w:rPr>
                <w:rFonts w:ascii="Times New Roman" w:hAnsi="Times New Roman" w:eastAsiaTheme="minorEastAsia"/>
                <w:b/>
                <w:color w:val="FF0000"/>
                <w:kern w:val="44"/>
              </w:rPr>
              <mc:AlternateContent>
                <mc:Choice Requires="wps">
                  <w:drawing>
                    <wp:anchor distT="0" distB="0" distL="114300" distR="114300" simplePos="0" relativeHeight="251679744" behindDoc="0" locked="0" layoutInCell="1" allowOverlap="1">
                      <wp:simplePos x="0" y="0"/>
                      <wp:positionH relativeFrom="column">
                        <wp:posOffset>1155065</wp:posOffset>
                      </wp:positionH>
                      <wp:positionV relativeFrom="paragraph">
                        <wp:posOffset>28575</wp:posOffset>
                      </wp:positionV>
                      <wp:extent cx="871220" cy="267335"/>
                      <wp:effectExtent l="0" t="0" r="24130" b="18415"/>
                      <wp:wrapNone/>
                      <wp:docPr id="146" name="文本框 146"/>
                      <wp:cNvGraphicFramePr/>
                      <a:graphic xmlns:a="http://schemas.openxmlformats.org/drawingml/2006/main">
                        <a:graphicData uri="http://schemas.microsoft.com/office/word/2010/wordprocessingShape">
                          <wps:wsp>
                            <wps:cNvSpPr txBox="1"/>
                            <wps:spPr>
                              <a:xfrm>
                                <a:off x="0" y="0"/>
                                <a:ext cx="871268" cy="267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95pt;margin-top:2.25pt;height:21.05pt;width:68.6pt;z-index:251679744;mso-width-relative:page;mso-height-relative:page;" fillcolor="#FFFFFF [3201]" filled="t" stroked="t" coordsize="21600,21600" o:gfxdata="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Jsq&#10;IdQAAAAIAQAADwAAAAAAAAABACAAAAAiAAAAZHJzL2Rvd25yZXYueG1sUEsBAhQAFAAAAAgAh07i&#10;QIhHZeVfAgAAyAQAAA4AAAAAAAAAAQAgAAAAIwEAAGRycy9lMm9Eb2MueG1sUEsFBgAAAAAGAAYA&#10;WQEAAPQFAAAAAA==&#10;">
                      <v:fill on="t" focussize="0,0"/>
                      <v:stroke weight="0.5pt" color="#000000 [3204]" joinstyle="round"/>
                      <v:imagedata o:title=""/>
                      <o:lock v:ext="edit" aspectratio="f"/>
                      <v:textbox>
                        <w:txbxContent>
                          <w:p>
                            <w:r>
                              <w:rPr>
                                <w:rFonts w:hint="eastAsia"/>
                              </w:rPr>
                              <w:t>生活用水</w:t>
                            </w:r>
                          </w:p>
                        </w:txbxContent>
                      </v:textbox>
                    </v:shape>
                  </w:pict>
                </mc:Fallback>
              </mc:AlternateContent>
            </w:r>
          </w:p>
          <w:bookmarkEnd w:id="31"/>
          <w:p>
            <w:pPr>
              <w:spacing w:line="360" w:lineRule="auto"/>
              <w:jc w:val="center"/>
              <w:rPr>
                <w:rFonts w:ascii="Times New Roman" w:hAnsi="Times New Roman" w:eastAsiaTheme="minorEastAsia"/>
                <w:b/>
                <w:color w:val="FF0000"/>
                <w:kern w:val="44"/>
                <w:sz w:val="24"/>
              </w:rPr>
            </w:pPr>
          </w:p>
          <w:p>
            <w:pPr>
              <w:pStyle w:val="10"/>
              <w:spacing w:line="520" w:lineRule="exact"/>
              <w:ind w:firstLine="0" w:firstLineChars="0"/>
              <w:contextualSpacing/>
              <w:jc w:val="center"/>
              <w:rPr>
                <w:rFonts w:ascii="Times New Roman" w:hAnsi="Times New Roman" w:eastAsiaTheme="minorEastAsia"/>
                <w:b/>
                <w:kern w:val="24"/>
              </w:rPr>
            </w:pPr>
            <w:r>
              <w:rPr>
                <w:rFonts w:ascii="Times New Roman" w:hAnsi="Times New Roman" w:eastAsiaTheme="minorEastAsia"/>
                <w:b/>
                <w:kern w:val="24"/>
              </w:rPr>
              <w:t>图2-1本项目水平衡图（t/a）</w:t>
            </w:r>
          </w:p>
          <w:p>
            <w:pPr>
              <w:spacing w:line="360" w:lineRule="auto"/>
              <w:rPr>
                <w:rFonts w:ascii="Times New Roman" w:hAnsi="Times New Roman" w:eastAsiaTheme="minorEastAsia"/>
                <w:b/>
                <w:kern w:val="44"/>
                <w:sz w:val="24"/>
              </w:rPr>
            </w:pPr>
            <w:r>
              <w:rPr>
                <w:rFonts w:ascii="Times New Roman" w:hAnsi="Times New Roman" w:eastAsiaTheme="minorEastAsia"/>
                <w:b/>
                <w:kern w:val="44"/>
                <w:sz w:val="24"/>
              </w:rPr>
              <w:t>5.劳动定员与工作制度</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本项目劳动定员15人，年工作365天，生产班制为1班制，8h/班，不建设食堂及宿舍。</w:t>
            </w:r>
          </w:p>
          <w:p>
            <w:pPr>
              <w:pStyle w:val="2"/>
              <w:numPr>
                <w:ilvl w:val="0"/>
                <w:numId w:val="1"/>
              </w:numPr>
              <w:spacing w:line="360" w:lineRule="auto"/>
              <w:ind w:left="482" w:hanging="482" w:hangingChars="200"/>
              <w:jc w:val="both"/>
              <w:rPr>
                <w:rFonts w:ascii="Times New Roman" w:hAnsi="Times New Roman" w:eastAsiaTheme="minorEastAsia"/>
                <w:b/>
                <w:color w:val="auto"/>
                <w:kern w:val="44"/>
              </w:rPr>
            </w:pPr>
            <w:r>
              <w:rPr>
                <w:rFonts w:ascii="Times New Roman" w:hAnsi="Times New Roman" w:eastAsiaTheme="minorEastAsia"/>
                <w:b/>
                <w:color w:val="auto"/>
                <w:kern w:val="44"/>
              </w:rPr>
              <w:t>工程变动情况</w:t>
            </w:r>
          </w:p>
          <w:tbl>
            <w:tblPr>
              <w:tblStyle w:val="21"/>
              <w:tblW w:w="932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2976"/>
              <w:gridCol w:w="2694"/>
              <w:gridCol w:w="25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108" w:type="dxa"/>
                  <w:vAlign w:val="center"/>
                </w:tcPr>
                <w:p>
                  <w:pPr>
                    <w:jc w:val="center"/>
                    <w:rPr>
                      <w:rFonts w:ascii="Times New Roman" w:hAnsi="Times New Roman" w:eastAsiaTheme="minorEastAsia"/>
                      <w:szCs w:val="21"/>
                    </w:rPr>
                  </w:pPr>
                  <w:r>
                    <w:rPr>
                      <w:rFonts w:ascii="Times New Roman" w:hAnsi="Times New Roman" w:eastAsiaTheme="minorEastAsia"/>
                      <w:szCs w:val="21"/>
                    </w:rPr>
                    <w:t>序号</w:t>
                  </w:r>
                </w:p>
              </w:tc>
              <w:tc>
                <w:tcPr>
                  <w:tcW w:w="2976" w:type="dxa"/>
                  <w:vAlign w:val="center"/>
                </w:tcPr>
                <w:p>
                  <w:pPr>
                    <w:jc w:val="center"/>
                    <w:rPr>
                      <w:rFonts w:ascii="Times New Roman" w:hAnsi="Times New Roman" w:eastAsiaTheme="minorEastAsia"/>
                      <w:szCs w:val="21"/>
                    </w:rPr>
                  </w:pPr>
                  <w:r>
                    <w:rPr>
                      <w:rFonts w:ascii="Times New Roman" w:hAnsi="Times New Roman" w:eastAsiaTheme="minorEastAsia"/>
                      <w:szCs w:val="21"/>
                    </w:rPr>
                    <w:t>环评批复情况</w:t>
                  </w:r>
                </w:p>
              </w:tc>
              <w:tc>
                <w:tcPr>
                  <w:tcW w:w="2694" w:type="dxa"/>
                  <w:vAlign w:val="center"/>
                </w:tcPr>
                <w:p>
                  <w:pPr>
                    <w:jc w:val="center"/>
                    <w:rPr>
                      <w:rFonts w:ascii="Times New Roman" w:hAnsi="Times New Roman" w:eastAsiaTheme="minorEastAsia"/>
                      <w:szCs w:val="21"/>
                    </w:rPr>
                  </w:pPr>
                  <w:r>
                    <w:rPr>
                      <w:rFonts w:ascii="Times New Roman" w:hAnsi="Times New Roman" w:eastAsiaTheme="minorEastAsia"/>
                      <w:szCs w:val="21"/>
                    </w:rPr>
                    <w:t>实际建设情况</w:t>
                  </w:r>
                </w:p>
              </w:tc>
              <w:tc>
                <w:tcPr>
                  <w:tcW w:w="2551" w:type="dxa"/>
                  <w:vAlign w:val="center"/>
                </w:tcPr>
                <w:p>
                  <w:pPr>
                    <w:jc w:val="center"/>
                    <w:rPr>
                      <w:rFonts w:ascii="Times New Roman" w:hAnsi="Times New Roman" w:eastAsiaTheme="minorEastAsia"/>
                      <w:szCs w:val="21"/>
                    </w:rPr>
                  </w:pPr>
                  <w:r>
                    <w:rPr>
                      <w:rFonts w:ascii="Times New Roman" w:hAnsi="Times New Roman" w:eastAsiaTheme="minorEastAsia"/>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108" w:type="dxa"/>
                  <w:vAlign w:val="center"/>
                </w:tcPr>
                <w:p>
                  <w:pPr>
                    <w:jc w:val="center"/>
                    <w:rPr>
                      <w:rFonts w:ascii="Times New Roman" w:hAnsi="Times New Roman" w:eastAsiaTheme="minorEastAsia"/>
                      <w:szCs w:val="21"/>
                    </w:rPr>
                  </w:pPr>
                  <w:r>
                    <w:rPr>
                      <w:rFonts w:ascii="Times New Roman" w:hAnsi="Times New Roman" w:eastAsiaTheme="minorEastAsia"/>
                      <w:szCs w:val="21"/>
                    </w:rPr>
                    <w:t>1</w:t>
                  </w:r>
                </w:p>
              </w:tc>
              <w:tc>
                <w:tcPr>
                  <w:tcW w:w="2976" w:type="dxa"/>
                  <w:vAlign w:val="center"/>
                </w:tcPr>
                <w:p>
                  <w:pPr>
                    <w:pStyle w:val="42"/>
                    <w:rPr>
                      <w:rFonts w:ascii="Times New Roman" w:hAnsi="Times New Roman" w:eastAsiaTheme="minorEastAsia"/>
                    </w:rPr>
                  </w:pPr>
                  <w:r>
                    <w:rPr>
                      <w:rFonts w:ascii="Times New Roman" w:hAnsi="Times New Roman" w:eastAsiaTheme="minorEastAsia"/>
                    </w:rPr>
                    <w:t>预处理过程挥发废气经集气罩收集后经活性炭吸附装置处理，后经15m高排气筒（P1）排放,切割废气经集气罩收集后经布袋除尘器处理，经15m高排气筒（P2）排放。</w:t>
                  </w:r>
                </w:p>
              </w:tc>
              <w:tc>
                <w:tcPr>
                  <w:tcW w:w="2694" w:type="dxa"/>
                  <w:vAlign w:val="center"/>
                </w:tcPr>
                <w:p>
                  <w:pPr>
                    <w:jc w:val="center"/>
                    <w:rPr>
                      <w:rFonts w:ascii="Times New Roman" w:hAnsi="Times New Roman" w:eastAsiaTheme="minorEastAsia"/>
                      <w:szCs w:val="21"/>
                    </w:rPr>
                  </w:pPr>
                  <w:r>
                    <w:rPr>
                      <w:rFonts w:ascii="Times New Roman" w:hAnsi="Times New Roman" w:eastAsiaTheme="minorEastAsia"/>
                      <w:szCs w:val="21"/>
                    </w:rPr>
                    <w:t>预处理过程挥发废气经集气罩收集后经活性炭吸附装置处理，后经15m高排气筒（P1）排放,切割废气经集气罩收集后经布袋除尘器处理，经15m高排气筒（P1）排放。</w:t>
                  </w:r>
                </w:p>
              </w:tc>
              <w:tc>
                <w:tcPr>
                  <w:tcW w:w="2551" w:type="dxa"/>
                  <w:vAlign w:val="center"/>
                </w:tcPr>
                <w:p>
                  <w:pPr>
                    <w:jc w:val="center"/>
                    <w:rPr>
                      <w:rFonts w:ascii="Times New Roman" w:hAnsi="Times New Roman" w:eastAsiaTheme="minorEastAsia"/>
                      <w:szCs w:val="21"/>
                    </w:rPr>
                  </w:pPr>
                  <w:r>
                    <w:rPr>
                      <w:rFonts w:hint="eastAsia" w:ascii="Times New Roman" w:hAnsi="Times New Roman" w:eastAsiaTheme="minorEastAsia"/>
                    </w:rPr>
                    <w:t>采用</w:t>
                  </w:r>
                  <w:r>
                    <w:rPr>
                      <w:rFonts w:ascii="Times New Roman" w:hAnsi="Times New Roman" w:eastAsiaTheme="minorEastAsia"/>
                    </w:rPr>
                    <w:t>同一根排气筒</w:t>
                  </w:r>
                  <w:r>
                    <w:rPr>
                      <w:rFonts w:hint="eastAsia" w:ascii="Times New Roman" w:hAnsi="Times New Roman" w:eastAsiaTheme="minorEastAsia"/>
                    </w:rPr>
                    <w:t>，</w:t>
                  </w:r>
                  <w:r>
                    <w:rPr>
                      <w:rFonts w:ascii="Times New Roman" w:hAnsi="Times New Roman" w:eastAsiaTheme="minorEastAsia"/>
                    </w:rPr>
                    <w:t>污染物排放量</w:t>
                  </w:r>
                  <w:r>
                    <w:rPr>
                      <w:rFonts w:hint="eastAsia" w:ascii="Times New Roman" w:hAnsi="Times New Roman" w:eastAsiaTheme="minorEastAsia"/>
                    </w:rPr>
                    <w:t>未</w:t>
                  </w:r>
                  <w:r>
                    <w:rPr>
                      <w:rFonts w:ascii="Times New Roman" w:hAnsi="Times New Roman" w:eastAsiaTheme="minorEastAsia"/>
                    </w:rPr>
                    <w:t>发生变化</w:t>
                  </w:r>
                </w:p>
              </w:tc>
            </w:tr>
          </w:tbl>
          <w:p>
            <w:pPr>
              <w:spacing w:line="360" w:lineRule="auto"/>
              <w:ind w:firstLine="480"/>
              <w:rPr>
                <w:rFonts w:ascii="Times New Roman" w:hAnsi="Times New Roman" w:eastAsiaTheme="minorEastAsia"/>
                <w:sz w:val="24"/>
              </w:rPr>
            </w:pPr>
            <w:r>
              <w:rPr>
                <w:rFonts w:ascii="Times New Roman" w:hAnsi="Times New Roman" w:eastAsiaTheme="minorEastAsia"/>
                <w:sz w:val="24"/>
              </w:rPr>
              <w:t>根据《污染影响类建设项目重大变动清单（试行）》的通知环办环评函〔2020〕688号文，污染影响类建设项目重大变动清单为“建设项目的性质、规模、地点、生产工艺和环境保护措施”。项目变动内容不属于重大变动，纳入竣工环境保护验收管理。</w:t>
            </w:r>
          </w:p>
          <w:p>
            <w:pPr>
              <w:pStyle w:val="2"/>
              <w:numPr>
                <w:ilvl w:val="0"/>
                <w:numId w:val="1"/>
              </w:numPr>
              <w:spacing w:line="360" w:lineRule="auto"/>
              <w:ind w:left="482" w:hanging="482" w:hangingChars="200"/>
              <w:jc w:val="both"/>
              <w:rPr>
                <w:rFonts w:ascii="Times New Roman" w:hAnsi="Times New Roman" w:eastAsiaTheme="minorEastAsia"/>
                <w:b/>
                <w:color w:val="auto"/>
                <w:kern w:val="44"/>
              </w:rPr>
            </w:pPr>
            <w:r>
              <w:rPr>
                <w:rFonts w:ascii="Times New Roman" w:hAnsi="Times New Roman" w:eastAsiaTheme="minorEastAsia"/>
                <w:b/>
                <w:color w:val="auto"/>
                <w:kern w:val="44"/>
              </w:rPr>
              <w:t>环保设施投资一览</w:t>
            </w:r>
          </w:p>
          <w:p>
            <w:pPr>
              <w:pStyle w:val="2"/>
              <w:spacing w:line="360" w:lineRule="auto"/>
              <w:ind w:left="-420" w:leftChars="-200"/>
              <w:jc w:val="center"/>
              <w:rPr>
                <w:rFonts w:ascii="Times New Roman" w:hAnsi="Times New Roman" w:eastAsiaTheme="minorEastAsia"/>
                <w:b/>
                <w:bCs/>
                <w:color w:val="auto"/>
                <w:szCs w:val="21"/>
              </w:rPr>
            </w:pPr>
            <w:r>
              <w:rPr>
                <w:rFonts w:ascii="Times New Roman" w:hAnsi="Times New Roman" w:eastAsiaTheme="minorEastAsia"/>
                <w:b/>
                <w:bCs/>
                <w:color w:val="auto"/>
              </w:rPr>
              <w:t>表2-4</w:t>
            </w:r>
            <w:r>
              <w:rPr>
                <w:rFonts w:ascii="Times New Roman" w:hAnsi="Times New Roman" w:eastAsiaTheme="minorEastAsia"/>
                <w:b/>
                <w:bCs/>
                <w:color w:val="auto"/>
                <w:szCs w:val="21"/>
              </w:rPr>
              <w:t>环保措施及投资估算一览表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813"/>
              <w:gridCol w:w="1860"/>
              <w:gridCol w:w="2860"/>
              <w:gridCol w:w="1353"/>
              <w:gridCol w:w="13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污染类型</w:t>
                  </w:r>
                </w:p>
              </w:tc>
              <w:tc>
                <w:tcPr>
                  <w:tcW w:w="1433" w:type="pct"/>
                  <w:gridSpan w:val="2"/>
                  <w:vAlign w:val="center"/>
                </w:tcPr>
                <w:p>
                  <w:pPr>
                    <w:jc w:val="center"/>
                    <w:rPr>
                      <w:rFonts w:ascii="Times New Roman" w:hAnsi="Times New Roman" w:eastAsiaTheme="minorEastAsia"/>
                      <w:szCs w:val="21"/>
                    </w:rPr>
                  </w:pPr>
                  <w:r>
                    <w:rPr>
                      <w:rFonts w:ascii="Times New Roman" w:hAnsi="Times New Roman" w:eastAsiaTheme="minorEastAsia"/>
                      <w:szCs w:val="21"/>
                    </w:rPr>
                    <w:t>治理对象</w:t>
                  </w:r>
                </w:p>
              </w:tc>
              <w:tc>
                <w:tcPr>
                  <w:tcW w:w="1533" w:type="pct"/>
                  <w:vAlign w:val="center"/>
                </w:tcPr>
                <w:p>
                  <w:pPr>
                    <w:jc w:val="center"/>
                    <w:rPr>
                      <w:rFonts w:ascii="Times New Roman" w:hAnsi="Times New Roman" w:eastAsiaTheme="minorEastAsia"/>
                      <w:szCs w:val="21"/>
                    </w:rPr>
                  </w:pPr>
                  <w:r>
                    <w:rPr>
                      <w:rFonts w:ascii="Times New Roman" w:hAnsi="Times New Roman" w:eastAsiaTheme="minorEastAsia"/>
                      <w:szCs w:val="21"/>
                    </w:rPr>
                    <w:t>环保措施</w:t>
                  </w:r>
                </w:p>
              </w:tc>
              <w:tc>
                <w:tcPr>
                  <w:tcW w:w="725" w:type="pct"/>
                  <w:vAlign w:val="center"/>
                </w:tcPr>
                <w:p>
                  <w:pPr>
                    <w:jc w:val="center"/>
                    <w:rPr>
                      <w:rFonts w:ascii="Times New Roman" w:hAnsi="Times New Roman" w:eastAsiaTheme="minorEastAsia"/>
                      <w:szCs w:val="21"/>
                    </w:rPr>
                  </w:pPr>
                  <w:r>
                    <w:rPr>
                      <w:rFonts w:ascii="Times New Roman" w:hAnsi="Times New Roman" w:eastAsiaTheme="minorEastAsia"/>
                      <w:szCs w:val="21"/>
                    </w:rPr>
                    <w:t>投资概算（万元）</w:t>
                  </w:r>
                </w:p>
              </w:tc>
              <w:tc>
                <w:tcPr>
                  <w:tcW w:w="744" w:type="pct"/>
                  <w:vAlign w:val="center"/>
                </w:tcPr>
                <w:p>
                  <w:pPr>
                    <w:jc w:val="center"/>
                    <w:rPr>
                      <w:rFonts w:ascii="Times New Roman" w:hAnsi="Times New Roman" w:eastAsiaTheme="minorEastAsia"/>
                      <w:szCs w:val="21"/>
                    </w:rPr>
                  </w:pPr>
                  <w:r>
                    <w:rPr>
                      <w:rFonts w:ascii="Times New Roman" w:hAnsi="Times New Roman" w:eastAsiaTheme="minorEastAsia"/>
                      <w:szCs w:val="21"/>
                    </w:rPr>
                    <w:t>实际投资（万元）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restart"/>
                  <w:vAlign w:val="center"/>
                </w:tcPr>
                <w:p>
                  <w:pPr>
                    <w:jc w:val="center"/>
                    <w:rPr>
                      <w:rFonts w:ascii="Times New Roman" w:hAnsi="Times New Roman" w:eastAsiaTheme="minorEastAsia"/>
                      <w:szCs w:val="21"/>
                    </w:rPr>
                  </w:pPr>
                  <w:r>
                    <w:rPr>
                      <w:rFonts w:ascii="Times New Roman" w:hAnsi="Times New Roman" w:eastAsiaTheme="minorEastAsia"/>
                      <w:szCs w:val="21"/>
                    </w:rPr>
                    <w:t>废气</w:t>
                  </w:r>
                </w:p>
              </w:tc>
              <w:tc>
                <w:tcPr>
                  <w:tcW w:w="1433" w:type="pct"/>
                  <w:gridSpan w:val="2"/>
                  <w:vAlign w:val="center"/>
                </w:tcPr>
                <w:p>
                  <w:pPr>
                    <w:jc w:val="center"/>
                    <w:rPr>
                      <w:rFonts w:ascii="Times New Roman" w:hAnsi="Times New Roman" w:eastAsiaTheme="minorEastAsia"/>
                      <w:szCs w:val="21"/>
                    </w:rPr>
                  </w:pPr>
                  <w:r>
                    <w:rPr>
                      <w:rFonts w:ascii="Times New Roman" w:hAnsi="Times New Roman" w:eastAsiaTheme="minorEastAsia"/>
                      <w:szCs w:val="21"/>
                    </w:rPr>
                    <w:t>预处理过程挥发废气</w:t>
                  </w:r>
                </w:p>
              </w:tc>
              <w:tc>
                <w:tcPr>
                  <w:tcW w:w="1533" w:type="pct"/>
                  <w:vAlign w:val="center"/>
                </w:tcPr>
                <w:p>
                  <w:pPr>
                    <w:jc w:val="center"/>
                    <w:rPr>
                      <w:rFonts w:ascii="Times New Roman" w:hAnsi="Times New Roman" w:eastAsiaTheme="minorEastAsia"/>
                      <w:szCs w:val="21"/>
                    </w:rPr>
                  </w:pPr>
                  <w:r>
                    <w:rPr>
                      <w:rFonts w:ascii="Times New Roman" w:hAnsi="Times New Roman" w:eastAsiaTheme="minorEastAsia"/>
                      <w:szCs w:val="21"/>
                    </w:rPr>
                    <w:t>活性炭吸附+15m高排气筒（DA001）</w:t>
                  </w:r>
                </w:p>
              </w:tc>
              <w:tc>
                <w:tcPr>
                  <w:tcW w:w="725" w:type="pct"/>
                  <w:vMerge w:val="restart"/>
                  <w:vAlign w:val="center"/>
                </w:tcPr>
                <w:p>
                  <w:pPr>
                    <w:jc w:val="center"/>
                    <w:rPr>
                      <w:rFonts w:ascii="Times New Roman" w:hAnsi="Times New Roman" w:eastAsiaTheme="minorEastAsia"/>
                      <w:szCs w:val="21"/>
                    </w:rPr>
                  </w:pPr>
                  <w:r>
                    <w:rPr>
                      <w:rFonts w:ascii="Times New Roman" w:hAnsi="Times New Roman" w:eastAsiaTheme="minorEastAsia"/>
                      <w:szCs w:val="21"/>
                    </w:rPr>
                    <w:t>3</w:t>
                  </w:r>
                </w:p>
              </w:tc>
              <w:tc>
                <w:tcPr>
                  <w:tcW w:w="744" w:type="pct"/>
                  <w:vMerge w:val="restart"/>
                  <w:vAlign w:val="center"/>
                </w:tcPr>
                <w:p>
                  <w:pPr>
                    <w:jc w:val="center"/>
                    <w:rPr>
                      <w:rFonts w:ascii="Times New Roman" w:hAnsi="Times New Roman" w:eastAsiaTheme="minorEastAsia"/>
                      <w:szCs w:val="21"/>
                    </w:rPr>
                  </w:pPr>
                  <w:r>
                    <w:rPr>
                      <w:rFonts w:ascii="Times New Roman" w:hAnsi="Times New Roman" w:eastAsiaTheme="minorEastAsia"/>
                      <w:szCs w:val="2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continue"/>
                  <w:vAlign w:val="center"/>
                </w:tcPr>
                <w:p>
                  <w:pPr>
                    <w:jc w:val="center"/>
                    <w:rPr>
                      <w:rFonts w:ascii="Times New Roman" w:hAnsi="Times New Roman" w:eastAsiaTheme="minorEastAsia"/>
                      <w:szCs w:val="21"/>
                    </w:rPr>
                  </w:pPr>
                </w:p>
              </w:tc>
              <w:tc>
                <w:tcPr>
                  <w:tcW w:w="1433" w:type="pct"/>
                  <w:gridSpan w:val="2"/>
                  <w:vAlign w:val="center"/>
                </w:tcPr>
                <w:p>
                  <w:pPr>
                    <w:jc w:val="center"/>
                    <w:rPr>
                      <w:rFonts w:ascii="Times New Roman" w:hAnsi="Times New Roman" w:eastAsiaTheme="minorEastAsia"/>
                      <w:szCs w:val="21"/>
                    </w:rPr>
                  </w:pPr>
                  <w:r>
                    <w:rPr>
                      <w:rFonts w:ascii="Times New Roman" w:hAnsi="Times New Roman" w:eastAsiaTheme="minorEastAsia"/>
                      <w:szCs w:val="21"/>
                    </w:rPr>
                    <w:t>切割废气</w:t>
                  </w:r>
                </w:p>
              </w:tc>
              <w:tc>
                <w:tcPr>
                  <w:tcW w:w="1533" w:type="pct"/>
                  <w:vAlign w:val="center"/>
                </w:tcPr>
                <w:p>
                  <w:pPr>
                    <w:jc w:val="center"/>
                    <w:rPr>
                      <w:rFonts w:ascii="Times New Roman" w:hAnsi="Times New Roman" w:eastAsiaTheme="minorEastAsia"/>
                      <w:szCs w:val="21"/>
                    </w:rPr>
                  </w:pPr>
                  <w:r>
                    <w:rPr>
                      <w:rFonts w:ascii="Times New Roman" w:hAnsi="Times New Roman" w:eastAsiaTheme="minorEastAsia"/>
                      <w:szCs w:val="21"/>
                    </w:rPr>
                    <w:t>布袋除尘器+15m高排气筒（DA001）</w:t>
                  </w:r>
                </w:p>
              </w:tc>
              <w:tc>
                <w:tcPr>
                  <w:tcW w:w="725" w:type="pct"/>
                  <w:vMerge w:val="continue"/>
                  <w:vAlign w:val="center"/>
                </w:tcPr>
                <w:p>
                  <w:pPr>
                    <w:jc w:val="center"/>
                    <w:rPr>
                      <w:rFonts w:ascii="Times New Roman" w:hAnsi="Times New Roman" w:eastAsiaTheme="minorEastAsia"/>
                      <w:szCs w:val="21"/>
                    </w:rPr>
                  </w:pPr>
                </w:p>
              </w:tc>
              <w:tc>
                <w:tcPr>
                  <w:tcW w:w="744" w:type="pct"/>
                  <w:vMerge w:val="continue"/>
                  <w:vAlign w:val="center"/>
                </w:tcPr>
                <w:p>
                  <w:pPr>
                    <w:jc w:val="center"/>
                    <w:rPr>
                      <w:rFonts w:ascii="Times New Roman" w:hAnsi="Times New Roman" w:eastAsiaTheme="minorEastAsia"/>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废水</w:t>
                  </w:r>
                </w:p>
              </w:tc>
              <w:tc>
                <w:tcPr>
                  <w:tcW w:w="1433" w:type="pct"/>
                  <w:gridSpan w:val="2"/>
                  <w:vAlign w:val="center"/>
                </w:tcPr>
                <w:p>
                  <w:pPr>
                    <w:widowControl/>
                    <w:jc w:val="center"/>
                    <w:rPr>
                      <w:rFonts w:ascii="Times New Roman" w:hAnsi="Times New Roman" w:eastAsiaTheme="minorEastAsia"/>
                      <w:szCs w:val="21"/>
                    </w:rPr>
                  </w:pPr>
                  <w:r>
                    <w:rPr>
                      <w:rFonts w:ascii="Times New Roman" w:hAnsi="Times New Roman" w:eastAsiaTheme="minorEastAsia"/>
                      <w:szCs w:val="21"/>
                    </w:rPr>
                    <w:t>生活污水</w:t>
                  </w:r>
                </w:p>
              </w:tc>
              <w:tc>
                <w:tcPr>
                  <w:tcW w:w="1533" w:type="pct"/>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化粪池</w:t>
                  </w:r>
                </w:p>
              </w:tc>
              <w:tc>
                <w:tcPr>
                  <w:tcW w:w="725" w:type="pct"/>
                  <w:vAlign w:val="center"/>
                </w:tcPr>
                <w:p>
                  <w:pPr>
                    <w:jc w:val="center"/>
                    <w:rPr>
                      <w:rFonts w:ascii="Times New Roman" w:hAnsi="Times New Roman" w:eastAsiaTheme="minorEastAsia"/>
                      <w:szCs w:val="21"/>
                    </w:rPr>
                  </w:pPr>
                  <w:r>
                    <w:rPr>
                      <w:rFonts w:ascii="Times New Roman" w:hAnsi="Times New Roman" w:eastAsiaTheme="minorEastAsia"/>
                      <w:szCs w:val="21"/>
                    </w:rPr>
                    <w:t>2</w:t>
                  </w:r>
                </w:p>
              </w:tc>
              <w:tc>
                <w:tcPr>
                  <w:tcW w:w="744" w:type="pct"/>
                  <w:vAlign w:val="center"/>
                </w:tcPr>
                <w:p>
                  <w:pPr>
                    <w:jc w:val="center"/>
                    <w:rPr>
                      <w:rFonts w:ascii="Times New Roman" w:hAnsi="Times New Roman" w:eastAsiaTheme="minorEastAsia"/>
                      <w:szCs w:val="21"/>
                    </w:rPr>
                  </w:pPr>
                  <w:r>
                    <w:rPr>
                      <w:rFonts w:ascii="Times New Roman" w:hAnsi="Times New Roman" w:eastAsiaTheme="minorEastAsia"/>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restart"/>
                  <w:vAlign w:val="center"/>
                </w:tcPr>
                <w:p>
                  <w:pPr>
                    <w:jc w:val="center"/>
                    <w:rPr>
                      <w:rFonts w:ascii="Times New Roman" w:hAnsi="Times New Roman" w:eastAsiaTheme="minorEastAsia"/>
                      <w:szCs w:val="21"/>
                    </w:rPr>
                  </w:pPr>
                  <w:r>
                    <w:rPr>
                      <w:rFonts w:ascii="Times New Roman" w:hAnsi="Times New Roman" w:eastAsiaTheme="minorEastAsia"/>
                      <w:szCs w:val="21"/>
                    </w:rPr>
                    <w:t>固废</w:t>
                  </w:r>
                </w:p>
              </w:tc>
              <w:tc>
                <w:tcPr>
                  <w:tcW w:w="436" w:type="pct"/>
                  <w:vAlign w:val="center"/>
                </w:tcPr>
                <w:p>
                  <w:pPr>
                    <w:jc w:val="center"/>
                    <w:rPr>
                      <w:rFonts w:ascii="Times New Roman" w:hAnsi="Times New Roman" w:eastAsiaTheme="minorEastAsia"/>
                      <w:szCs w:val="21"/>
                    </w:rPr>
                  </w:pPr>
                  <w:r>
                    <w:rPr>
                      <w:rFonts w:ascii="Times New Roman" w:hAnsi="Times New Roman" w:eastAsiaTheme="minorEastAsia"/>
                      <w:szCs w:val="21"/>
                    </w:rPr>
                    <w:t>生活垃圾</w:t>
                  </w:r>
                </w:p>
              </w:tc>
              <w:tc>
                <w:tcPr>
                  <w:tcW w:w="997" w:type="pct"/>
                  <w:vAlign w:val="center"/>
                </w:tcPr>
                <w:p>
                  <w:pPr>
                    <w:jc w:val="center"/>
                    <w:rPr>
                      <w:rFonts w:ascii="Times New Roman" w:hAnsi="Times New Roman" w:eastAsiaTheme="minorEastAsia"/>
                      <w:szCs w:val="21"/>
                    </w:rPr>
                  </w:pPr>
                  <w:r>
                    <w:rPr>
                      <w:rFonts w:ascii="Times New Roman" w:hAnsi="Times New Roman" w:eastAsiaTheme="minorEastAsia"/>
                      <w:szCs w:val="21"/>
                    </w:rPr>
                    <w:t>生活垃圾</w:t>
                  </w:r>
                </w:p>
              </w:tc>
              <w:tc>
                <w:tcPr>
                  <w:tcW w:w="1533" w:type="pct"/>
                  <w:vAlign w:val="center"/>
                </w:tcPr>
                <w:p>
                  <w:pPr>
                    <w:jc w:val="center"/>
                    <w:rPr>
                      <w:rFonts w:ascii="Times New Roman" w:hAnsi="Times New Roman" w:eastAsiaTheme="minorEastAsia"/>
                      <w:szCs w:val="21"/>
                    </w:rPr>
                  </w:pPr>
                  <w:r>
                    <w:rPr>
                      <w:rFonts w:ascii="Times New Roman" w:hAnsi="Times New Roman" w:eastAsiaTheme="minorEastAsia"/>
                      <w:szCs w:val="21"/>
                    </w:rPr>
                    <w:t>垃圾桶收集后交由环卫部门统一处理</w:t>
                  </w:r>
                </w:p>
              </w:tc>
              <w:tc>
                <w:tcPr>
                  <w:tcW w:w="725" w:type="pct"/>
                  <w:vAlign w:val="center"/>
                </w:tcPr>
                <w:p>
                  <w:pPr>
                    <w:jc w:val="center"/>
                    <w:rPr>
                      <w:rFonts w:ascii="Times New Roman" w:hAnsi="Times New Roman" w:eastAsiaTheme="minorEastAsia"/>
                      <w:szCs w:val="21"/>
                    </w:rPr>
                  </w:pPr>
                  <w:r>
                    <w:rPr>
                      <w:rFonts w:ascii="Times New Roman" w:hAnsi="Times New Roman" w:eastAsiaTheme="minorEastAsia"/>
                      <w:szCs w:val="21"/>
                    </w:rPr>
                    <w:t>0.5</w:t>
                  </w:r>
                </w:p>
              </w:tc>
              <w:tc>
                <w:tcPr>
                  <w:tcW w:w="744" w:type="pct"/>
                  <w:vAlign w:val="center"/>
                </w:tcPr>
                <w:p>
                  <w:pPr>
                    <w:jc w:val="center"/>
                    <w:rPr>
                      <w:rFonts w:ascii="Times New Roman" w:hAnsi="Times New Roman" w:eastAsiaTheme="minorEastAsia"/>
                      <w:szCs w:val="21"/>
                    </w:rPr>
                  </w:pPr>
                  <w:r>
                    <w:rPr>
                      <w:rFonts w:ascii="Times New Roman" w:hAnsi="Times New Roman" w:eastAsiaTheme="minorEastAsia"/>
                      <w:szCs w:val="21"/>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Merge w:val="continue"/>
                  <w:vAlign w:val="center"/>
                </w:tcPr>
                <w:p>
                  <w:pPr>
                    <w:jc w:val="center"/>
                    <w:rPr>
                      <w:rFonts w:ascii="Times New Roman" w:hAnsi="Times New Roman" w:eastAsiaTheme="minorEastAsia"/>
                      <w:szCs w:val="21"/>
                    </w:rPr>
                  </w:pPr>
                </w:p>
              </w:tc>
              <w:tc>
                <w:tcPr>
                  <w:tcW w:w="436" w:type="pct"/>
                  <w:vAlign w:val="center"/>
                </w:tcPr>
                <w:p>
                  <w:pPr>
                    <w:jc w:val="center"/>
                    <w:rPr>
                      <w:rFonts w:ascii="Times New Roman" w:hAnsi="Times New Roman" w:eastAsiaTheme="minorEastAsia"/>
                      <w:szCs w:val="21"/>
                    </w:rPr>
                  </w:pPr>
                  <w:r>
                    <w:rPr>
                      <w:rFonts w:ascii="Times New Roman" w:hAnsi="Times New Roman" w:eastAsiaTheme="minorEastAsia"/>
                      <w:szCs w:val="21"/>
                    </w:rPr>
                    <w:t>危险废物</w:t>
                  </w:r>
                </w:p>
              </w:tc>
              <w:tc>
                <w:tcPr>
                  <w:tcW w:w="997" w:type="pct"/>
                  <w:vAlign w:val="center"/>
                </w:tcPr>
                <w:p>
                  <w:pPr>
                    <w:jc w:val="center"/>
                    <w:rPr>
                      <w:rFonts w:ascii="Times New Roman" w:hAnsi="Times New Roman" w:eastAsiaTheme="minorEastAsia"/>
                      <w:szCs w:val="21"/>
                    </w:rPr>
                  </w:pPr>
                  <w:r>
                    <w:rPr>
                      <w:rFonts w:ascii="Times New Roman" w:hAnsi="Times New Roman" w:eastAsiaTheme="minorEastAsia"/>
                      <w:szCs w:val="21"/>
                    </w:rPr>
                    <w:t>废铅酸蓄电池、废油液、废电路板、分类收集的含油抹布及手套</w:t>
                  </w:r>
                </w:p>
              </w:tc>
              <w:tc>
                <w:tcPr>
                  <w:tcW w:w="1533" w:type="pct"/>
                  <w:vAlign w:val="center"/>
                </w:tcPr>
                <w:p>
                  <w:pPr>
                    <w:jc w:val="center"/>
                    <w:rPr>
                      <w:rFonts w:ascii="Times New Roman" w:hAnsi="Times New Roman" w:eastAsiaTheme="minorEastAsia"/>
                      <w:szCs w:val="21"/>
                    </w:rPr>
                  </w:pPr>
                  <w:r>
                    <w:rPr>
                      <w:rFonts w:ascii="Times New Roman" w:hAnsi="Times New Roman" w:eastAsiaTheme="minorEastAsia"/>
                      <w:szCs w:val="21"/>
                    </w:rPr>
                    <w:t>经收集后暂存于危废暂存间，定期交有资质单位处理。</w:t>
                  </w:r>
                </w:p>
              </w:tc>
              <w:tc>
                <w:tcPr>
                  <w:tcW w:w="725" w:type="pct"/>
                  <w:vAlign w:val="center"/>
                </w:tcPr>
                <w:p>
                  <w:pPr>
                    <w:jc w:val="center"/>
                    <w:rPr>
                      <w:rFonts w:ascii="Times New Roman" w:hAnsi="Times New Roman" w:eastAsiaTheme="minorEastAsia"/>
                      <w:szCs w:val="21"/>
                    </w:rPr>
                  </w:pPr>
                  <w:r>
                    <w:rPr>
                      <w:rFonts w:ascii="Times New Roman" w:hAnsi="Times New Roman" w:eastAsiaTheme="minorEastAsia"/>
                      <w:szCs w:val="21"/>
                    </w:rPr>
                    <w:t>1.5</w:t>
                  </w:r>
                </w:p>
              </w:tc>
              <w:tc>
                <w:tcPr>
                  <w:tcW w:w="744" w:type="pct"/>
                  <w:vAlign w:val="center"/>
                </w:tcPr>
                <w:p>
                  <w:pPr>
                    <w:jc w:val="center"/>
                    <w:rPr>
                      <w:rFonts w:ascii="Times New Roman" w:hAnsi="Times New Roman" w:eastAsiaTheme="minorEastAsia"/>
                      <w:szCs w:val="21"/>
                    </w:rPr>
                  </w:pPr>
                  <w:r>
                    <w:rPr>
                      <w:rFonts w:ascii="Times New Roman" w:hAnsi="Times New Roman" w:eastAsiaTheme="minorEastAsia"/>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噪声</w:t>
                  </w:r>
                </w:p>
              </w:tc>
              <w:tc>
                <w:tcPr>
                  <w:tcW w:w="1433" w:type="pct"/>
                  <w:gridSpan w:val="2"/>
                  <w:vAlign w:val="center"/>
                </w:tcPr>
                <w:p>
                  <w:pPr>
                    <w:jc w:val="center"/>
                    <w:rPr>
                      <w:rFonts w:ascii="Times New Roman" w:hAnsi="Times New Roman" w:eastAsiaTheme="minorEastAsia"/>
                      <w:szCs w:val="21"/>
                    </w:rPr>
                  </w:pPr>
                  <w:r>
                    <w:rPr>
                      <w:rFonts w:ascii="Times New Roman" w:hAnsi="Times New Roman" w:eastAsiaTheme="minorEastAsia"/>
                      <w:szCs w:val="21"/>
                    </w:rPr>
                    <w:t>设备噪声</w:t>
                  </w:r>
                </w:p>
              </w:tc>
              <w:tc>
                <w:tcPr>
                  <w:tcW w:w="1533" w:type="pct"/>
                  <w:vAlign w:val="center"/>
                </w:tcPr>
                <w:p>
                  <w:pPr>
                    <w:jc w:val="center"/>
                    <w:rPr>
                      <w:rFonts w:ascii="Times New Roman" w:hAnsi="Times New Roman" w:eastAsiaTheme="minorEastAsia"/>
                      <w:szCs w:val="21"/>
                    </w:rPr>
                  </w:pPr>
                  <w:r>
                    <w:rPr>
                      <w:rFonts w:ascii="Times New Roman" w:hAnsi="Times New Roman" w:eastAsiaTheme="minorEastAsia"/>
                      <w:szCs w:val="21"/>
                    </w:rPr>
                    <w:t>厂房隔声、基础减震、合理布局</w:t>
                  </w:r>
                </w:p>
              </w:tc>
              <w:tc>
                <w:tcPr>
                  <w:tcW w:w="725" w:type="pct"/>
                  <w:vAlign w:val="center"/>
                </w:tcPr>
                <w:p>
                  <w:pPr>
                    <w:jc w:val="center"/>
                    <w:rPr>
                      <w:rFonts w:ascii="Times New Roman" w:hAnsi="Times New Roman" w:eastAsiaTheme="minorEastAsia"/>
                      <w:szCs w:val="21"/>
                    </w:rPr>
                  </w:pPr>
                  <w:r>
                    <w:rPr>
                      <w:rFonts w:ascii="Times New Roman" w:hAnsi="Times New Roman" w:eastAsiaTheme="minorEastAsia"/>
                      <w:szCs w:val="21"/>
                    </w:rPr>
                    <w:t>1</w:t>
                  </w:r>
                </w:p>
              </w:tc>
              <w:tc>
                <w:tcPr>
                  <w:tcW w:w="744" w:type="pct"/>
                  <w:vAlign w:val="center"/>
                </w:tcPr>
                <w:p>
                  <w:pPr>
                    <w:jc w:val="center"/>
                    <w:rPr>
                      <w:rFonts w:ascii="Times New Roman" w:hAnsi="Times New Roman" w:eastAsiaTheme="minorEastAsia"/>
                      <w:szCs w:val="21"/>
                    </w:rPr>
                  </w:pPr>
                  <w:r>
                    <w:rPr>
                      <w:rFonts w:ascii="Times New Roman" w:hAnsi="Times New Roman" w:eastAsiaTheme="minorEastAsia"/>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pct"/>
                  <w:vAlign w:val="center"/>
                </w:tcPr>
                <w:p>
                  <w:pPr>
                    <w:jc w:val="center"/>
                    <w:rPr>
                      <w:rFonts w:ascii="Times New Roman" w:hAnsi="Times New Roman" w:eastAsiaTheme="minorEastAsia"/>
                      <w:szCs w:val="21"/>
                    </w:rPr>
                  </w:pPr>
                  <w:r>
                    <w:rPr>
                      <w:rFonts w:ascii="Times New Roman" w:hAnsi="Times New Roman" w:eastAsiaTheme="minorEastAsia"/>
                      <w:szCs w:val="21"/>
                    </w:rPr>
                    <w:t>地下水、土壤</w:t>
                  </w:r>
                </w:p>
              </w:tc>
              <w:tc>
                <w:tcPr>
                  <w:tcW w:w="1433" w:type="pct"/>
                  <w:gridSpan w:val="2"/>
                  <w:vAlign w:val="center"/>
                </w:tcPr>
                <w:p>
                  <w:pPr>
                    <w:jc w:val="center"/>
                    <w:rPr>
                      <w:rFonts w:ascii="Times New Roman" w:hAnsi="Times New Roman" w:eastAsiaTheme="minorEastAsia"/>
                      <w:szCs w:val="21"/>
                    </w:rPr>
                  </w:pPr>
                  <w:r>
                    <w:rPr>
                      <w:rFonts w:ascii="Times New Roman" w:hAnsi="Times New Roman" w:eastAsiaTheme="minorEastAsia"/>
                      <w:szCs w:val="21"/>
                    </w:rPr>
                    <w:t>渗漏</w:t>
                  </w:r>
                </w:p>
              </w:tc>
              <w:tc>
                <w:tcPr>
                  <w:tcW w:w="1533" w:type="pct"/>
                  <w:vAlign w:val="center"/>
                </w:tcPr>
                <w:p>
                  <w:pPr>
                    <w:jc w:val="center"/>
                    <w:rPr>
                      <w:rFonts w:ascii="Times New Roman" w:hAnsi="Times New Roman" w:eastAsiaTheme="minorEastAsia"/>
                      <w:szCs w:val="21"/>
                    </w:rPr>
                  </w:pPr>
                  <w:r>
                    <w:rPr>
                      <w:rFonts w:ascii="Times New Roman" w:hAnsi="Times New Roman" w:eastAsiaTheme="minorEastAsia"/>
                      <w:szCs w:val="21"/>
                    </w:rPr>
                    <w:t>地面硬化、分区防渗</w:t>
                  </w:r>
                </w:p>
              </w:tc>
              <w:tc>
                <w:tcPr>
                  <w:tcW w:w="725" w:type="pct"/>
                  <w:vAlign w:val="center"/>
                </w:tcPr>
                <w:p>
                  <w:pPr>
                    <w:jc w:val="center"/>
                    <w:rPr>
                      <w:rFonts w:ascii="Times New Roman" w:hAnsi="Times New Roman" w:eastAsiaTheme="minorEastAsia"/>
                      <w:szCs w:val="21"/>
                    </w:rPr>
                  </w:pPr>
                  <w:r>
                    <w:rPr>
                      <w:rFonts w:ascii="Times New Roman" w:hAnsi="Times New Roman" w:eastAsiaTheme="minorEastAsia"/>
                      <w:szCs w:val="21"/>
                    </w:rPr>
                    <w:t>2</w:t>
                  </w:r>
                </w:p>
              </w:tc>
              <w:tc>
                <w:tcPr>
                  <w:tcW w:w="744" w:type="pct"/>
                  <w:vAlign w:val="center"/>
                </w:tcPr>
                <w:p>
                  <w:pPr>
                    <w:jc w:val="center"/>
                    <w:rPr>
                      <w:rFonts w:ascii="Times New Roman" w:hAnsi="Times New Roman" w:eastAsiaTheme="minorEastAsia"/>
                      <w:szCs w:val="21"/>
                    </w:rPr>
                  </w:pPr>
                  <w:r>
                    <w:rPr>
                      <w:rFonts w:ascii="Times New Roman" w:hAnsi="Times New Roman" w:eastAsiaTheme="minorEastAsia"/>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1" w:type="pct"/>
                  <w:gridSpan w:val="4"/>
                  <w:vAlign w:val="center"/>
                </w:tcPr>
                <w:p>
                  <w:pPr>
                    <w:jc w:val="center"/>
                    <w:rPr>
                      <w:rFonts w:ascii="Times New Roman" w:hAnsi="Times New Roman" w:eastAsiaTheme="minorEastAsia"/>
                      <w:szCs w:val="21"/>
                    </w:rPr>
                  </w:pPr>
                  <w:r>
                    <w:rPr>
                      <w:rFonts w:ascii="Times New Roman" w:hAnsi="Times New Roman" w:eastAsiaTheme="minorEastAsia"/>
                      <w:szCs w:val="21"/>
                    </w:rPr>
                    <w:t>合计</w:t>
                  </w:r>
                </w:p>
              </w:tc>
              <w:tc>
                <w:tcPr>
                  <w:tcW w:w="725" w:type="pct"/>
                  <w:vAlign w:val="center"/>
                </w:tcPr>
                <w:p>
                  <w:pPr>
                    <w:jc w:val="center"/>
                    <w:rPr>
                      <w:rFonts w:ascii="Times New Roman" w:hAnsi="Times New Roman" w:eastAsiaTheme="minorEastAsia"/>
                      <w:szCs w:val="21"/>
                    </w:rPr>
                  </w:pPr>
                  <w:r>
                    <w:rPr>
                      <w:rFonts w:ascii="Times New Roman" w:hAnsi="Times New Roman" w:eastAsiaTheme="minorEastAsia"/>
                      <w:szCs w:val="21"/>
                    </w:rPr>
                    <w:t>10</w:t>
                  </w:r>
                </w:p>
              </w:tc>
              <w:tc>
                <w:tcPr>
                  <w:tcW w:w="744" w:type="pct"/>
                  <w:vAlign w:val="center"/>
                </w:tcPr>
                <w:p>
                  <w:pPr>
                    <w:jc w:val="center"/>
                    <w:rPr>
                      <w:rFonts w:ascii="Times New Roman" w:hAnsi="Times New Roman" w:eastAsiaTheme="minorEastAsia"/>
                      <w:szCs w:val="21"/>
                    </w:rPr>
                  </w:pPr>
                  <w:r>
                    <w:rPr>
                      <w:rFonts w:ascii="Times New Roman" w:hAnsi="Times New Roman" w:eastAsiaTheme="minorEastAsia"/>
                      <w:szCs w:val="21"/>
                    </w:rPr>
                    <w:t>10</w:t>
                  </w:r>
                </w:p>
              </w:tc>
            </w:tr>
          </w:tbl>
          <w:p>
            <w:pPr>
              <w:rPr>
                <w:rFonts w:ascii="Times New Roman" w:hAnsi="Times New Roman" w:eastAsiaTheme="minorEastAsia"/>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5" w:hRule="atLeast"/>
        </w:trPr>
        <w:tc>
          <w:tcPr>
            <w:tcW w:w="9011" w:type="dxa"/>
          </w:tcPr>
          <w:p>
            <w:pPr>
              <w:spacing w:line="360" w:lineRule="auto"/>
              <w:rPr>
                <w:rFonts w:ascii="Times New Roman" w:hAnsi="Times New Roman" w:eastAsiaTheme="minorEastAsia"/>
                <w:kern w:val="0"/>
                <w:sz w:val="24"/>
              </w:rPr>
            </w:pPr>
            <w:r>
              <w:rPr>
                <w:rFonts w:ascii="Times New Roman" w:hAnsi="Times New Roman" w:eastAsiaTheme="minorEastAsia"/>
                <w:b/>
                <w:bCs/>
                <w:sz w:val="28"/>
                <w:szCs w:val="28"/>
              </w:rPr>
              <w:t>主要工艺流程及产污环节：</w:t>
            </w:r>
          </w:p>
          <w:p>
            <w:pPr>
              <w:autoSpaceDE w:val="0"/>
              <w:autoSpaceDN w:val="0"/>
              <w:adjustRightInd w:val="0"/>
              <w:spacing w:line="360" w:lineRule="auto"/>
              <w:ind w:firstLine="567"/>
              <w:contextualSpacing/>
              <w:textAlignment w:val="bottom"/>
              <w:rPr>
                <w:rFonts w:ascii="Times New Roman" w:hAnsi="Times New Roman" w:eastAsiaTheme="minorEastAsia"/>
                <w:b/>
                <w:bCs/>
                <w:kern w:val="0"/>
                <w:sz w:val="24"/>
              </w:rPr>
            </w:pPr>
            <w:r>
              <w:rPr>
                <w:rFonts w:ascii="Times New Roman" w:hAnsi="Times New Roman" w:eastAsiaTheme="minorEastAsia"/>
                <w:b/>
                <w:bCs/>
                <w:kern w:val="0"/>
                <w:sz w:val="24"/>
              </w:rPr>
              <w:t>运营期：</w:t>
            </w:r>
          </w:p>
          <w:p>
            <w:pPr>
              <w:pStyle w:val="29"/>
              <w:rPr>
                <w:rFonts w:ascii="Times New Roman" w:hAnsi="Times New Roman" w:eastAsiaTheme="minorEastAsia"/>
                <w:bCs/>
              </w:rPr>
            </w:pPr>
            <w:r>
              <w:rPr>
                <w:rFonts w:ascii="Times New Roman" w:hAnsi="Times New Roman" w:eastAsiaTheme="minorEastAsia"/>
                <w:bCs/>
              </w:rPr>
              <w:t>本项目为农机拆解项目，一般而言，拆解工艺有“非破坏性拆解”、“准破坏性抵触”、“破坏性拆解”之分。绝大多数农机经长年使用报废后，零件的回收价值已不大；另一方面，本项目拆解工艺不考虑零件回收问题；根据农机各部分的具体结构情况及拆解操作的方便程度，综合利用氧割、各种手工、电动拆解工具进行拆解，属于“破坏性拆解”。</w:t>
            </w:r>
          </w:p>
          <w:p>
            <w:pPr>
              <w:pStyle w:val="29"/>
              <w:rPr>
                <w:rFonts w:ascii="Times New Roman" w:hAnsi="Times New Roman" w:eastAsiaTheme="minorEastAsia"/>
                <w:bCs/>
              </w:rPr>
            </w:pPr>
            <w:r>
              <w:rPr>
                <w:rFonts w:hint="eastAsia" w:ascii="宋体" w:hAnsi="宋体" w:cs="宋体"/>
                <w:bCs/>
              </w:rPr>
              <w:t>①</w:t>
            </w:r>
            <w:r>
              <w:rPr>
                <w:rFonts w:ascii="Times New Roman" w:hAnsi="Times New Roman" w:eastAsiaTheme="minorEastAsia"/>
                <w:bCs/>
              </w:rPr>
              <w:t>农机入厂</w:t>
            </w:r>
          </w:p>
          <w:p>
            <w:pPr>
              <w:pStyle w:val="29"/>
              <w:rPr>
                <w:rFonts w:ascii="Times New Roman" w:hAnsi="Times New Roman" w:eastAsiaTheme="minorEastAsia"/>
                <w:bCs/>
              </w:rPr>
            </w:pPr>
            <w:r>
              <w:rPr>
                <w:rFonts w:ascii="Times New Roman" w:hAnsi="Times New Roman" w:eastAsiaTheme="minorEastAsia"/>
                <w:bCs/>
              </w:rPr>
              <w:t>将收购来的报废农机运至厂区，准备进行拆解工作。</w:t>
            </w:r>
          </w:p>
          <w:p>
            <w:pPr>
              <w:pStyle w:val="29"/>
              <w:rPr>
                <w:rFonts w:ascii="Times New Roman" w:hAnsi="Times New Roman" w:eastAsiaTheme="minorEastAsia"/>
                <w:bCs/>
              </w:rPr>
            </w:pPr>
            <w:r>
              <w:rPr>
                <w:rFonts w:hint="eastAsia" w:ascii="宋体" w:hAnsi="宋体" w:cs="宋体"/>
                <w:bCs/>
              </w:rPr>
              <w:t>②</w:t>
            </w:r>
            <w:r>
              <w:rPr>
                <w:rFonts w:ascii="Times New Roman" w:hAnsi="Times New Roman" w:eastAsiaTheme="minorEastAsia"/>
                <w:bCs/>
              </w:rPr>
              <w:t>拆解前预处理</w:t>
            </w:r>
          </w:p>
          <w:p>
            <w:pPr>
              <w:pStyle w:val="29"/>
              <w:rPr>
                <w:rFonts w:ascii="Times New Roman" w:hAnsi="Times New Roman" w:eastAsiaTheme="minorEastAsia"/>
                <w:bCs/>
              </w:rPr>
            </w:pPr>
            <w:r>
              <w:rPr>
                <w:rFonts w:ascii="Times New Roman" w:hAnsi="Times New Roman" w:eastAsiaTheme="minorEastAsia"/>
                <w:bCs/>
              </w:rPr>
              <w:t>预处理：预拆解工作台位于拆解厂房的南侧，在正式拆解前，拆下蓄电池，放净发动机、变速箱总成的内部机油；油箱中如有残余燃油，放净回收，然后拆下油箱。预处理是为了保证安全拆解、防止污染，其中蓄电池仅拆下，不进行拆解。</w:t>
            </w:r>
          </w:p>
          <w:p>
            <w:pPr>
              <w:pStyle w:val="29"/>
              <w:rPr>
                <w:rFonts w:ascii="Times New Roman" w:hAnsi="Times New Roman" w:eastAsiaTheme="minorEastAsia"/>
                <w:bCs/>
              </w:rPr>
            </w:pPr>
            <w:r>
              <w:rPr>
                <w:rFonts w:hint="eastAsia" w:ascii="宋体" w:hAnsi="宋体" w:cs="宋体"/>
                <w:bCs/>
              </w:rPr>
              <w:t>③</w:t>
            </w:r>
            <w:r>
              <w:rPr>
                <w:rFonts w:ascii="Times New Roman" w:hAnsi="Times New Roman" w:eastAsiaTheme="minorEastAsia"/>
                <w:bCs/>
              </w:rPr>
              <w:t>总成拆除</w:t>
            </w:r>
          </w:p>
          <w:p>
            <w:pPr>
              <w:pStyle w:val="29"/>
              <w:rPr>
                <w:rFonts w:ascii="Times New Roman" w:hAnsi="Times New Roman" w:eastAsiaTheme="minorEastAsia"/>
                <w:bCs/>
              </w:rPr>
            </w:pPr>
            <w:r>
              <w:rPr>
                <w:rFonts w:ascii="Times New Roman" w:hAnsi="Times New Roman" w:eastAsiaTheme="minorEastAsia"/>
                <w:bCs/>
              </w:rPr>
              <w:t>拆下发动机及变速箱等总成，并按《报废农业机械回收办法》对以上总成进行毁形（留证）、解体。从结构复杂性与操纵舒适性两方面来说，农业机械通常比汽车简单许多、操纵性能要求也低，故其总成数较少。</w:t>
            </w:r>
          </w:p>
          <w:p>
            <w:pPr>
              <w:pStyle w:val="29"/>
              <w:rPr>
                <w:rFonts w:ascii="Times New Roman" w:hAnsi="Times New Roman" w:eastAsiaTheme="minorEastAsia"/>
                <w:bCs/>
              </w:rPr>
            </w:pPr>
            <w:r>
              <w:rPr>
                <w:rFonts w:hint="eastAsia" w:ascii="宋体" w:hAnsi="宋体" w:cs="宋体"/>
                <w:bCs/>
              </w:rPr>
              <w:t>④</w:t>
            </w:r>
            <w:r>
              <w:rPr>
                <w:rFonts w:ascii="Times New Roman" w:hAnsi="Times New Roman" w:eastAsiaTheme="minorEastAsia"/>
                <w:bCs/>
              </w:rPr>
              <w:t>机架解体</w:t>
            </w:r>
          </w:p>
          <w:p>
            <w:pPr>
              <w:pStyle w:val="29"/>
              <w:rPr>
                <w:rFonts w:ascii="Times New Roman" w:hAnsi="Times New Roman" w:eastAsiaTheme="minorEastAsia"/>
                <w:bCs/>
              </w:rPr>
            </w:pPr>
            <w:r>
              <w:rPr>
                <w:rFonts w:ascii="Times New Roman" w:hAnsi="Times New Roman" w:eastAsiaTheme="minorEastAsia"/>
                <w:bCs/>
              </w:rPr>
              <w:t>对拆除总成后的整体机架进行解体，主要在拆解车间的北部进行，机架拆解以能对拆解物进行粗略归类为原则。视局部结构与可拆性的差异，分别用氧割、小型工具进行解体；对尺寸较大、或较占空间的拆解件，用剪断机切断。对以上拆解物进行初步分类存放，定期出售给废旧物资回收公司，拆解物分为金属与非金属两大类。金属类包括废钢材等有色金属，非金属类有橡胶（主要是废履带橡胶板、废旧轮胎）、塑料外壳。</w:t>
            </w:r>
          </w:p>
          <w:p>
            <w:pPr>
              <w:spacing w:line="360" w:lineRule="auto"/>
              <w:jc w:val="center"/>
              <w:rPr>
                <w:rFonts w:ascii="Times New Roman" w:hAnsi="Times New Roman" w:eastAsiaTheme="minorEastAsia"/>
                <w:color w:val="FF0000"/>
              </w:rPr>
            </w:pPr>
            <w:r>
              <w:rPr>
                <w:rFonts w:ascii="Times New Roman" w:hAnsi="Times New Roman"/>
              </w:rPr>
              <w:drawing>
                <wp:inline distT="0" distB="0" distL="0" distR="0">
                  <wp:extent cx="5167630" cy="3362960"/>
                  <wp:effectExtent l="0" t="0" r="0" b="889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79252" cy="3370811"/>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Theme="minorEastAsia"/>
                <w:b/>
                <w:snapToGrid w:val="0"/>
                <w:kern w:val="0"/>
                <w:szCs w:val="21"/>
              </w:rPr>
            </w:pPr>
            <w:r>
              <w:rPr>
                <w:rFonts w:ascii="Times New Roman" w:hAnsi="Times New Roman" w:eastAsiaTheme="minorEastAsia"/>
                <w:b/>
                <w:snapToGrid w:val="0"/>
                <w:kern w:val="0"/>
                <w:szCs w:val="21"/>
              </w:rPr>
              <w:t>图2-1运营期工艺流程图</w:t>
            </w:r>
          </w:p>
          <w:p>
            <w:pPr>
              <w:adjustRightInd w:val="0"/>
              <w:snapToGrid w:val="0"/>
              <w:spacing w:line="360" w:lineRule="auto"/>
              <w:rPr>
                <w:rFonts w:ascii="Times New Roman" w:hAnsi="Times New Roman" w:eastAsiaTheme="minorEastAsia"/>
                <w:b/>
                <w:bCs/>
                <w:color w:val="FF0000"/>
                <w:sz w:val="24"/>
              </w:rPr>
            </w:pPr>
          </w:p>
        </w:tc>
      </w:tr>
    </w:tbl>
    <w:p>
      <w:pPr>
        <w:pStyle w:val="2"/>
        <w:snapToGrid w:val="0"/>
        <w:outlineLvl w:val="0"/>
        <w:rPr>
          <w:rFonts w:ascii="Times New Roman" w:hAnsi="Times New Roman" w:eastAsiaTheme="minorEastAsia"/>
          <w:b/>
          <w:bCs/>
          <w:color w:val="auto"/>
          <w:sz w:val="28"/>
          <w:szCs w:val="28"/>
        </w:rPr>
      </w:pPr>
      <w:bookmarkStart w:id="32" w:name="_Toc14439"/>
      <w:bookmarkStart w:id="33" w:name="_Toc22140"/>
      <w:r>
        <w:rPr>
          <w:rFonts w:ascii="Times New Roman" w:hAnsi="Times New Roman" w:eastAsiaTheme="minorEastAsia"/>
          <w:b/>
          <w:bCs/>
          <w:color w:val="auto"/>
          <w:sz w:val="28"/>
          <w:szCs w:val="28"/>
        </w:rPr>
        <w:t>表三</w:t>
      </w:r>
      <w:bookmarkEnd w:id="32"/>
      <w:r>
        <w:rPr>
          <w:rFonts w:ascii="Times New Roman" w:hAnsi="Times New Roman" w:eastAsiaTheme="minorEastAsia"/>
          <w:b/>
          <w:bCs/>
          <w:color w:val="auto"/>
          <w:sz w:val="28"/>
          <w:szCs w:val="28"/>
        </w:rPr>
        <w:t>主要污染源、污染物处理和排放</w:t>
      </w:r>
      <w:bookmarkEnd w:id="33"/>
    </w:p>
    <w:tbl>
      <w:tblPr>
        <w:tblStyle w:val="22"/>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5" w:hRule="atLeast"/>
          <w:jc w:val="center"/>
        </w:trPr>
        <w:tc>
          <w:tcPr>
            <w:tcW w:w="8937" w:type="dxa"/>
          </w:tcPr>
          <w:p>
            <w:pPr>
              <w:pStyle w:val="2"/>
              <w:spacing w:line="360" w:lineRule="auto"/>
              <w:jc w:val="both"/>
              <w:rPr>
                <w:rFonts w:ascii="Times New Roman" w:hAnsi="Times New Roman" w:eastAsiaTheme="minorEastAsia"/>
                <w:b/>
                <w:bCs/>
                <w:color w:val="auto"/>
                <w:sz w:val="28"/>
                <w:szCs w:val="28"/>
              </w:rPr>
            </w:pPr>
            <w:r>
              <w:rPr>
                <w:rFonts w:ascii="Times New Roman" w:hAnsi="Times New Roman" w:eastAsiaTheme="minorEastAsia"/>
                <w:b/>
                <w:bCs/>
                <w:color w:val="auto"/>
                <w:sz w:val="28"/>
                <w:szCs w:val="28"/>
              </w:rPr>
              <w:t>主要污染源、污染物处理和排放：</w:t>
            </w:r>
          </w:p>
          <w:p>
            <w:pPr>
              <w:spacing w:line="360" w:lineRule="auto"/>
              <w:ind w:firstLine="482" w:firstLineChars="200"/>
              <w:jc w:val="left"/>
              <w:rPr>
                <w:rFonts w:ascii="Times New Roman" w:hAnsi="Times New Roman" w:eastAsiaTheme="minorEastAsia"/>
                <w:b/>
                <w:bCs/>
                <w:sz w:val="24"/>
              </w:rPr>
            </w:pPr>
            <w:r>
              <w:rPr>
                <w:rFonts w:ascii="Times New Roman" w:hAnsi="Times New Roman" w:eastAsiaTheme="minorEastAsia"/>
                <w:b/>
                <w:bCs/>
                <w:sz w:val="24"/>
              </w:rPr>
              <w:t>一、废气</w:t>
            </w:r>
          </w:p>
          <w:p>
            <w:pPr>
              <w:spacing w:line="360" w:lineRule="auto"/>
              <w:ind w:firstLine="573"/>
              <w:contextualSpacing/>
              <w:rPr>
                <w:rFonts w:ascii="Times New Roman" w:hAnsi="Times New Roman" w:eastAsiaTheme="minorEastAsia"/>
                <w:sz w:val="24"/>
              </w:rPr>
            </w:pPr>
            <w:r>
              <w:rPr>
                <w:rFonts w:ascii="Times New Roman" w:hAnsi="Times New Roman" w:eastAsiaTheme="minorEastAsia"/>
                <w:sz w:val="24"/>
              </w:rPr>
              <w:t>1、预处理过程挥发废气：</w:t>
            </w:r>
            <w:r>
              <w:rPr>
                <w:rFonts w:ascii="Times New Roman" w:hAnsi="Times New Roman" w:eastAsiaTheme="minorEastAsia"/>
                <w:bCs/>
                <w:sz w:val="24"/>
              </w:rPr>
              <w:t>预处理过程挥发废气经集气罩收集后经活性炭吸附装置处理，后经15m高排气筒（DA001）</w:t>
            </w:r>
            <w:r>
              <w:rPr>
                <w:rFonts w:ascii="Times New Roman" w:hAnsi="Times New Roman" w:eastAsiaTheme="minorEastAsia"/>
                <w:sz w:val="24"/>
              </w:rPr>
              <w:t>排放。</w:t>
            </w:r>
          </w:p>
          <w:p>
            <w:pPr>
              <w:spacing w:line="360" w:lineRule="auto"/>
              <w:ind w:firstLine="573"/>
              <w:contextualSpacing/>
              <w:rPr>
                <w:rFonts w:ascii="Times New Roman" w:hAnsi="Times New Roman" w:eastAsiaTheme="minorEastAsia"/>
                <w:sz w:val="24"/>
              </w:rPr>
            </w:pPr>
            <w:r>
              <w:rPr>
                <w:rFonts w:ascii="Times New Roman" w:hAnsi="Times New Roman" w:eastAsiaTheme="minorEastAsia"/>
                <w:sz w:val="24"/>
              </w:rPr>
              <w:t>2、</w:t>
            </w:r>
            <w:r>
              <w:rPr>
                <w:rFonts w:ascii="Times New Roman" w:hAnsi="Times New Roman" w:eastAsiaTheme="minorEastAsia"/>
                <w:bCs/>
                <w:sz w:val="24"/>
              </w:rPr>
              <w:t>切割废气</w:t>
            </w:r>
            <w:r>
              <w:rPr>
                <w:rFonts w:ascii="Times New Roman" w:hAnsi="Times New Roman" w:eastAsiaTheme="minorEastAsia"/>
                <w:sz w:val="24"/>
              </w:rPr>
              <w:t>：</w:t>
            </w:r>
            <w:r>
              <w:rPr>
                <w:rFonts w:ascii="Times New Roman" w:hAnsi="Times New Roman" w:eastAsiaTheme="minorEastAsia"/>
                <w:bCs/>
                <w:sz w:val="24"/>
              </w:rPr>
              <w:t>切割废气经集气罩收集后经布袋除尘器处理，经15m高排气筒（DA001）排放</w:t>
            </w:r>
            <w:r>
              <w:rPr>
                <w:rFonts w:ascii="Times New Roman" w:hAnsi="Times New Roman" w:eastAsiaTheme="minorEastAsia"/>
                <w:sz w:val="24"/>
              </w:rPr>
              <w:t>。</w:t>
            </w:r>
          </w:p>
          <w:p>
            <w:pPr>
              <w:spacing w:before="156" w:after="156"/>
              <w:jc w:val="center"/>
              <w:rPr>
                <w:rFonts w:ascii="Times New Roman" w:hAnsi="Times New Roman" w:eastAsiaTheme="minorEastAsia"/>
                <w:b/>
                <w:sz w:val="24"/>
              </w:rPr>
            </w:pPr>
            <w:r>
              <w:rPr>
                <w:rFonts w:ascii="Times New Roman" w:hAnsi="Times New Roman" w:eastAsiaTheme="minorEastAsia"/>
                <w:b/>
                <w:sz w:val="24"/>
              </w:rPr>
              <w:t>表3-1废气排放及防治措施</w:t>
            </w:r>
          </w:p>
          <w:tbl>
            <w:tblPr>
              <w:tblStyle w:val="22"/>
              <w:tblW w:w="87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385"/>
              <w:gridCol w:w="1659"/>
              <w:gridCol w:w="1200"/>
              <w:gridCol w:w="2547"/>
              <w:gridCol w:w="12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7" w:hRule="exact"/>
                <w:tblHeader/>
                <w:jc w:val="center"/>
              </w:trPr>
              <w:tc>
                <w:tcPr>
                  <w:tcW w:w="715" w:type="dxa"/>
                  <w:tcBorders>
                    <w:tl2br w:val="nil"/>
                    <w:tr2bl w:val="nil"/>
                  </w:tcBorders>
                  <w:vAlign w:val="center"/>
                </w:tcPr>
                <w:p>
                  <w:pPr>
                    <w:jc w:val="center"/>
                    <w:rPr>
                      <w:rFonts w:ascii="Times New Roman" w:hAnsi="Times New Roman" w:eastAsiaTheme="minorEastAsia"/>
                      <w:bCs/>
                      <w:szCs w:val="21"/>
                    </w:rPr>
                  </w:pPr>
                  <w:bookmarkStart w:id="34" w:name="_Toc17097"/>
                  <w:bookmarkStart w:id="35" w:name="_Toc9943"/>
                  <w:r>
                    <w:rPr>
                      <w:rFonts w:ascii="Times New Roman" w:hAnsi="Times New Roman" w:eastAsiaTheme="minorEastAsia"/>
                      <w:bCs/>
                      <w:szCs w:val="21"/>
                    </w:rPr>
                    <w:t>序号</w:t>
                  </w:r>
                  <w:bookmarkEnd w:id="34"/>
                  <w:bookmarkEnd w:id="35"/>
                </w:p>
              </w:tc>
              <w:tc>
                <w:tcPr>
                  <w:tcW w:w="1385"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rPr>
                    <w:t>污染源名称</w:t>
                  </w:r>
                </w:p>
              </w:tc>
              <w:tc>
                <w:tcPr>
                  <w:tcW w:w="1659"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bCs/>
                      <w:szCs w:val="21"/>
                    </w:rPr>
                    <w:t>污染物种类</w:t>
                  </w:r>
                </w:p>
              </w:tc>
              <w:tc>
                <w:tcPr>
                  <w:tcW w:w="1200"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bCs/>
                      <w:szCs w:val="21"/>
                    </w:rPr>
                    <w:t>排放形式</w:t>
                  </w:r>
                </w:p>
              </w:tc>
              <w:tc>
                <w:tcPr>
                  <w:tcW w:w="2547"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bCs/>
                      <w:szCs w:val="21"/>
                    </w:rPr>
                    <w:t>治理设施</w:t>
                  </w:r>
                </w:p>
              </w:tc>
              <w:tc>
                <w:tcPr>
                  <w:tcW w:w="1205"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bCs/>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15"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bCs/>
                      <w:szCs w:val="21"/>
                    </w:rPr>
                    <w:t>1</w:t>
                  </w:r>
                </w:p>
              </w:tc>
              <w:tc>
                <w:tcPr>
                  <w:tcW w:w="1385" w:type="dxa"/>
                  <w:tcBorders>
                    <w:tl2br w:val="nil"/>
                    <w:tr2bl w:val="nil"/>
                  </w:tcBorders>
                  <w:vAlign w:val="center"/>
                </w:tcPr>
                <w:p>
                  <w:pPr>
                    <w:pStyle w:val="20"/>
                    <w:spacing w:after="0"/>
                    <w:ind w:firstLine="0" w:firstLineChars="0"/>
                    <w:jc w:val="center"/>
                    <w:rPr>
                      <w:rFonts w:ascii="Times New Roman" w:hAnsi="Times New Roman" w:eastAsiaTheme="minorEastAsia"/>
                      <w:bCs/>
                      <w:szCs w:val="21"/>
                    </w:rPr>
                  </w:pPr>
                  <w:r>
                    <w:rPr>
                      <w:rFonts w:ascii="Times New Roman" w:hAnsi="Times New Roman" w:eastAsiaTheme="minorEastAsia"/>
                      <w:bCs/>
                      <w:kern w:val="0"/>
                      <w:szCs w:val="21"/>
                    </w:rPr>
                    <w:t>预处理过程挥发废气</w:t>
                  </w:r>
                </w:p>
              </w:tc>
              <w:tc>
                <w:tcPr>
                  <w:tcW w:w="1659"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rPr>
                    <w:t>VOCs</w:t>
                  </w:r>
                </w:p>
              </w:tc>
              <w:tc>
                <w:tcPr>
                  <w:tcW w:w="1200" w:type="dxa"/>
                  <w:tcBorders>
                    <w:tl2br w:val="nil"/>
                    <w:tr2bl w:val="nil"/>
                  </w:tcBorders>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有组织</w:t>
                  </w:r>
                </w:p>
              </w:tc>
              <w:tc>
                <w:tcPr>
                  <w:tcW w:w="2547" w:type="dxa"/>
                  <w:tcBorders>
                    <w:tl2br w:val="nil"/>
                    <w:tr2bl w:val="nil"/>
                  </w:tcBorders>
                  <w:vAlign w:val="center"/>
                </w:tcPr>
                <w:p>
                  <w:pPr>
                    <w:pStyle w:val="20"/>
                    <w:widowControl/>
                    <w:adjustRightInd w:val="0"/>
                    <w:snapToGrid w:val="0"/>
                    <w:spacing w:after="0"/>
                    <w:ind w:firstLine="0" w:firstLineChars="0"/>
                    <w:jc w:val="center"/>
                    <w:rPr>
                      <w:rFonts w:ascii="Times New Roman" w:hAnsi="Times New Roman"/>
                      <w:szCs w:val="22"/>
                    </w:rPr>
                  </w:pPr>
                  <w:r>
                    <w:rPr>
                      <w:rFonts w:ascii="Times New Roman" w:hAnsi="Times New Roman"/>
                      <w:szCs w:val="22"/>
                    </w:rPr>
                    <w:t>活性炭吸附</w:t>
                  </w:r>
                </w:p>
                <w:p>
                  <w:pPr>
                    <w:jc w:val="center"/>
                    <w:rPr>
                      <w:rFonts w:ascii="Times New Roman" w:hAnsi="Times New Roman" w:eastAsiaTheme="minorEastAsia"/>
                      <w:bCs/>
                      <w:szCs w:val="21"/>
                    </w:rPr>
                  </w:pPr>
                  <w:r>
                    <w:rPr>
                      <w:rFonts w:ascii="Times New Roman" w:hAnsi="Times New Roman"/>
                      <w:szCs w:val="22"/>
                    </w:rPr>
                    <w:t>+15m高排气筒</w:t>
                  </w:r>
                </w:p>
              </w:tc>
              <w:tc>
                <w:tcPr>
                  <w:tcW w:w="1205"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环境空气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67" w:hRule="atLeast"/>
                <w:jc w:val="center"/>
              </w:trPr>
              <w:tc>
                <w:tcPr>
                  <w:tcW w:w="715"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bCs/>
                      <w:szCs w:val="21"/>
                    </w:rPr>
                    <w:t>2</w:t>
                  </w:r>
                </w:p>
              </w:tc>
              <w:tc>
                <w:tcPr>
                  <w:tcW w:w="1385" w:type="dxa"/>
                  <w:tcBorders>
                    <w:tl2br w:val="nil"/>
                    <w:tr2bl w:val="nil"/>
                  </w:tcBorders>
                  <w:vAlign w:val="center"/>
                </w:tcPr>
                <w:p>
                  <w:pPr>
                    <w:pStyle w:val="20"/>
                    <w:spacing w:after="0"/>
                    <w:ind w:firstLine="0" w:firstLineChars="0"/>
                    <w:jc w:val="center"/>
                    <w:rPr>
                      <w:rFonts w:ascii="Times New Roman" w:hAnsi="Times New Roman" w:eastAsiaTheme="minorEastAsia"/>
                      <w:bCs/>
                      <w:kern w:val="0"/>
                      <w:szCs w:val="21"/>
                    </w:rPr>
                  </w:pPr>
                  <w:r>
                    <w:rPr>
                      <w:rFonts w:ascii="Times New Roman" w:hAnsi="Times New Roman" w:eastAsiaTheme="minorEastAsia"/>
                      <w:bCs/>
                      <w:kern w:val="0"/>
                      <w:szCs w:val="21"/>
                    </w:rPr>
                    <w:t>切割废气</w:t>
                  </w:r>
                </w:p>
              </w:tc>
              <w:tc>
                <w:tcPr>
                  <w:tcW w:w="1659" w:type="dxa"/>
                  <w:tcBorders>
                    <w:tl2br w:val="nil"/>
                    <w:tr2bl w:val="nil"/>
                  </w:tcBorders>
                  <w:vAlign w:val="center"/>
                </w:tcPr>
                <w:p>
                  <w:pPr>
                    <w:jc w:val="center"/>
                    <w:rPr>
                      <w:rFonts w:ascii="Times New Roman" w:hAnsi="Times New Roman" w:eastAsiaTheme="minorEastAsia"/>
                    </w:rPr>
                  </w:pPr>
                  <w:r>
                    <w:rPr>
                      <w:rFonts w:ascii="Times New Roman" w:hAnsi="Times New Roman" w:eastAsiaTheme="minorEastAsia"/>
                    </w:rPr>
                    <w:t>颗粒物</w:t>
                  </w:r>
                </w:p>
              </w:tc>
              <w:tc>
                <w:tcPr>
                  <w:tcW w:w="1200" w:type="dxa"/>
                  <w:tcBorders>
                    <w:tl2br w:val="nil"/>
                    <w:tr2bl w:val="nil"/>
                  </w:tcBorders>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有组织</w:t>
                  </w:r>
                </w:p>
              </w:tc>
              <w:tc>
                <w:tcPr>
                  <w:tcW w:w="2547" w:type="dxa"/>
                  <w:tcBorders>
                    <w:tl2br w:val="nil"/>
                    <w:tr2bl w:val="nil"/>
                  </w:tcBorders>
                  <w:vAlign w:val="center"/>
                </w:tcPr>
                <w:p>
                  <w:pPr>
                    <w:pStyle w:val="20"/>
                    <w:widowControl/>
                    <w:adjustRightInd w:val="0"/>
                    <w:snapToGrid w:val="0"/>
                    <w:spacing w:after="0"/>
                    <w:ind w:firstLine="0" w:firstLineChars="0"/>
                    <w:jc w:val="center"/>
                    <w:rPr>
                      <w:rFonts w:ascii="Times New Roman" w:hAnsi="Times New Roman"/>
                      <w:szCs w:val="22"/>
                    </w:rPr>
                  </w:pPr>
                  <w:r>
                    <w:rPr>
                      <w:rFonts w:ascii="Times New Roman" w:hAnsi="Times New Roman"/>
                      <w:szCs w:val="22"/>
                    </w:rPr>
                    <w:t>布袋除尘器</w:t>
                  </w:r>
                </w:p>
                <w:p>
                  <w:pPr>
                    <w:pStyle w:val="20"/>
                    <w:widowControl/>
                    <w:adjustRightInd w:val="0"/>
                    <w:snapToGrid w:val="0"/>
                    <w:spacing w:after="0"/>
                    <w:ind w:firstLine="0" w:firstLineChars="0"/>
                    <w:jc w:val="center"/>
                    <w:rPr>
                      <w:rFonts w:ascii="Times New Roman" w:hAnsi="Times New Roman"/>
                      <w:szCs w:val="22"/>
                    </w:rPr>
                  </w:pPr>
                  <w:r>
                    <w:rPr>
                      <w:rFonts w:ascii="Times New Roman" w:hAnsi="Times New Roman"/>
                      <w:szCs w:val="22"/>
                    </w:rPr>
                    <w:t>+15m高排气筒</w:t>
                  </w:r>
                </w:p>
              </w:tc>
              <w:tc>
                <w:tcPr>
                  <w:tcW w:w="1205"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环境空气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67" w:hRule="atLeast"/>
                <w:jc w:val="center"/>
              </w:trPr>
              <w:tc>
                <w:tcPr>
                  <w:tcW w:w="715"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bCs/>
                      <w:szCs w:val="21"/>
                    </w:rPr>
                    <w:t>3</w:t>
                  </w:r>
                </w:p>
              </w:tc>
              <w:tc>
                <w:tcPr>
                  <w:tcW w:w="1385" w:type="dxa"/>
                  <w:tcBorders>
                    <w:tl2br w:val="nil"/>
                    <w:tr2bl w:val="nil"/>
                  </w:tcBorders>
                  <w:vAlign w:val="center"/>
                </w:tcPr>
                <w:p>
                  <w:pPr>
                    <w:pStyle w:val="20"/>
                    <w:spacing w:after="0"/>
                    <w:ind w:firstLine="0" w:firstLineChars="0"/>
                    <w:jc w:val="center"/>
                    <w:rPr>
                      <w:rFonts w:ascii="Times New Roman" w:hAnsi="Times New Roman" w:eastAsiaTheme="minorEastAsia"/>
                      <w:bCs/>
                      <w:szCs w:val="21"/>
                    </w:rPr>
                  </w:pPr>
                  <w:r>
                    <w:rPr>
                      <w:rFonts w:ascii="Times New Roman" w:hAnsi="Times New Roman" w:eastAsiaTheme="minorEastAsia"/>
                      <w:bCs/>
                      <w:kern w:val="0"/>
                      <w:szCs w:val="21"/>
                    </w:rPr>
                    <w:t>预处理过程挥发废气</w:t>
                  </w:r>
                </w:p>
              </w:tc>
              <w:tc>
                <w:tcPr>
                  <w:tcW w:w="1659"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rPr>
                    <w:t>VOCs</w:t>
                  </w:r>
                </w:p>
              </w:tc>
              <w:tc>
                <w:tcPr>
                  <w:tcW w:w="1200" w:type="dxa"/>
                  <w:tcBorders>
                    <w:tl2br w:val="nil"/>
                    <w:tr2bl w:val="nil"/>
                  </w:tcBorders>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无组织</w:t>
                  </w:r>
                </w:p>
              </w:tc>
              <w:tc>
                <w:tcPr>
                  <w:tcW w:w="2547"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bCs/>
                      <w:szCs w:val="21"/>
                    </w:rPr>
                    <w:t>/</w:t>
                  </w:r>
                </w:p>
              </w:tc>
              <w:tc>
                <w:tcPr>
                  <w:tcW w:w="1205"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环境空气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67" w:hRule="atLeast"/>
                <w:jc w:val="center"/>
              </w:trPr>
              <w:tc>
                <w:tcPr>
                  <w:tcW w:w="715"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bCs/>
                      <w:szCs w:val="21"/>
                    </w:rPr>
                    <w:t>4</w:t>
                  </w:r>
                </w:p>
              </w:tc>
              <w:tc>
                <w:tcPr>
                  <w:tcW w:w="1385" w:type="dxa"/>
                  <w:tcBorders>
                    <w:tl2br w:val="nil"/>
                    <w:tr2bl w:val="nil"/>
                  </w:tcBorders>
                  <w:vAlign w:val="center"/>
                </w:tcPr>
                <w:p>
                  <w:pPr>
                    <w:pStyle w:val="20"/>
                    <w:spacing w:after="0"/>
                    <w:ind w:firstLine="0" w:firstLineChars="0"/>
                    <w:jc w:val="center"/>
                    <w:rPr>
                      <w:rFonts w:ascii="Times New Roman" w:hAnsi="Times New Roman" w:eastAsiaTheme="minorEastAsia"/>
                      <w:bCs/>
                      <w:kern w:val="0"/>
                      <w:szCs w:val="21"/>
                    </w:rPr>
                  </w:pPr>
                  <w:r>
                    <w:rPr>
                      <w:rFonts w:ascii="Times New Roman" w:hAnsi="Times New Roman" w:eastAsiaTheme="minorEastAsia"/>
                      <w:bCs/>
                      <w:kern w:val="0"/>
                      <w:szCs w:val="21"/>
                    </w:rPr>
                    <w:t>切割废气</w:t>
                  </w:r>
                </w:p>
              </w:tc>
              <w:tc>
                <w:tcPr>
                  <w:tcW w:w="1659" w:type="dxa"/>
                  <w:tcBorders>
                    <w:tl2br w:val="nil"/>
                    <w:tr2bl w:val="nil"/>
                  </w:tcBorders>
                  <w:vAlign w:val="center"/>
                </w:tcPr>
                <w:p>
                  <w:pPr>
                    <w:jc w:val="center"/>
                    <w:rPr>
                      <w:rFonts w:ascii="Times New Roman" w:hAnsi="Times New Roman" w:eastAsiaTheme="minorEastAsia"/>
                    </w:rPr>
                  </w:pPr>
                  <w:r>
                    <w:rPr>
                      <w:rFonts w:ascii="Times New Roman" w:hAnsi="Times New Roman" w:eastAsiaTheme="minorEastAsia"/>
                    </w:rPr>
                    <w:t>颗粒物</w:t>
                  </w:r>
                </w:p>
              </w:tc>
              <w:tc>
                <w:tcPr>
                  <w:tcW w:w="1200" w:type="dxa"/>
                  <w:tcBorders>
                    <w:tl2br w:val="nil"/>
                    <w:tr2bl w:val="nil"/>
                  </w:tcBorders>
                  <w:vAlign w:val="center"/>
                </w:tcPr>
                <w:p>
                  <w:pPr>
                    <w:pStyle w:val="2"/>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无组织</w:t>
                  </w:r>
                </w:p>
              </w:tc>
              <w:tc>
                <w:tcPr>
                  <w:tcW w:w="2547" w:type="dxa"/>
                  <w:tcBorders>
                    <w:tl2br w:val="nil"/>
                    <w:tr2bl w:val="nil"/>
                  </w:tcBorders>
                  <w:vAlign w:val="center"/>
                </w:tcPr>
                <w:p>
                  <w:pPr>
                    <w:jc w:val="center"/>
                    <w:rPr>
                      <w:rFonts w:ascii="Times New Roman" w:hAnsi="Times New Roman" w:eastAsiaTheme="minorEastAsia"/>
                      <w:bCs/>
                      <w:szCs w:val="21"/>
                    </w:rPr>
                  </w:pPr>
                  <w:r>
                    <w:rPr>
                      <w:rFonts w:ascii="Times New Roman" w:hAnsi="Times New Roman" w:eastAsiaTheme="minorEastAsia"/>
                      <w:bCs/>
                      <w:szCs w:val="21"/>
                    </w:rPr>
                    <w:t>/</w:t>
                  </w:r>
                </w:p>
              </w:tc>
              <w:tc>
                <w:tcPr>
                  <w:tcW w:w="1205"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环境空气</w:t>
                  </w:r>
                </w:p>
              </w:tc>
            </w:tr>
          </w:tbl>
          <w:p>
            <w:pPr>
              <w:spacing w:line="360" w:lineRule="auto"/>
              <w:ind w:firstLine="482" w:firstLineChars="200"/>
              <w:jc w:val="left"/>
              <w:rPr>
                <w:rFonts w:ascii="Times New Roman" w:hAnsi="Times New Roman" w:eastAsiaTheme="minorEastAsia"/>
                <w:b/>
                <w:bCs/>
                <w:sz w:val="24"/>
              </w:rPr>
            </w:pPr>
            <w:r>
              <w:rPr>
                <w:rFonts w:ascii="Times New Roman" w:hAnsi="Times New Roman" w:eastAsiaTheme="minorEastAsia"/>
                <w:b/>
                <w:bCs/>
                <w:sz w:val="24"/>
              </w:rPr>
              <w:t>二、噪声</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本工程噪声主要为机械性噪声。生产过程中主要设备噪声源有等离子切割机、手电钻、轮胎拆装机、手动工具等。本项目对厂内高噪声设备采取减振处理、厂房隔声等措施降低噪声对周围环境产生的影响。</w:t>
            </w:r>
          </w:p>
          <w:p>
            <w:pPr>
              <w:spacing w:before="156" w:beforeLines="50" w:line="360" w:lineRule="auto"/>
              <w:ind w:firstLine="482" w:firstLineChars="200"/>
              <w:jc w:val="left"/>
              <w:outlineLvl w:val="2"/>
              <w:rPr>
                <w:rFonts w:ascii="Times New Roman" w:hAnsi="Times New Roman" w:eastAsiaTheme="minorEastAsia"/>
                <w:b/>
                <w:sz w:val="24"/>
              </w:rPr>
            </w:pPr>
            <w:r>
              <w:rPr>
                <w:rFonts w:ascii="Times New Roman" w:hAnsi="Times New Roman" w:eastAsiaTheme="minorEastAsia"/>
                <w:b/>
                <w:sz w:val="24"/>
              </w:rPr>
              <w:t>三、废水</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运营期</w:t>
            </w:r>
            <w:r>
              <w:rPr>
                <w:rFonts w:hint="eastAsia" w:ascii="Times New Roman" w:hAnsi="Times New Roman" w:eastAsiaTheme="minorEastAsia"/>
                <w:bCs/>
                <w:kern w:val="24"/>
                <w:sz w:val="24"/>
              </w:rPr>
              <w:t>生活污水经化粪池排入市政管网后排入黑龙江桦川污水处理有限公司污水处理厂</w:t>
            </w:r>
            <w:r>
              <w:rPr>
                <w:rFonts w:ascii="Times New Roman" w:hAnsi="Times New Roman" w:eastAsiaTheme="minorEastAsia"/>
                <w:bCs/>
                <w:kern w:val="24"/>
                <w:sz w:val="24"/>
              </w:rPr>
              <w:t>，排放浓度符合《污水综合排放标准》(GB8978-1996)中三级标准要求。</w:t>
            </w:r>
          </w:p>
          <w:p>
            <w:pPr>
              <w:spacing w:before="156" w:beforeLines="50" w:line="360" w:lineRule="auto"/>
              <w:ind w:firstLine="482" w:firstLineChars="200"/>
              <w:jc w:val="left"/>
              <w:outlineLvl w:val="2"/>
              <w:rPr>
                <w:rFonts w:ascii="Times New Roman" w:hAnsi="Times New Roman" w:eastAsiaTheme="minorEastAsia"/>
                <w:b/>
                <w:sz w:val="24"/>
              </w:rPr>
            </w:pPr>
            <w:r>
              <w:rPr>
                <w:rFonts w:ascii="Times New Roman" w:hAnsi="Times New Roman" w:eastAsiaTheme="minorEastAsia"/>
                <w:b/>
                <w:sz w:val="24"/>
              </w:rPr>
              <w:t>四、固体废物</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本工程固体废物包括一般固废及危险废物，一般固废包括生活垃圾、废革片、土屑等；危险废物包括废铅酸蓄电池、废油液、废电路板、废防冻液、废活性炭分类收集的含油抹布及手套。</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1、生活垃圾</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本项目新增职工生活垃圾产生量约为2.5t/a。经集中收集后交市政环卫部门统一处理。</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2、一般工业固废</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拆解产物分类后余下的无利用价值的废革片、土屑等，产生量约为2t/a，集中收集后与生活垃圾一同交由环卫部门统一清运处理。</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3、废铅酸蓄电池</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拆解过程产生的废铅酸蓄电池产生量约为5t/a，储存在现有危废暂存间，定期交由佳木斯龙江环保再生资源有限公司集中处理。</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4、废油液</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产生的废油液合约3t/a，主要为废润滑油、废机油和废柴油，储存在现有危废暂存间，定期交由佳木斯龙江环保再生资源有限公司集中处理。</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5、分类收集的含油抹布及手套</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在清理油垢时会产生含油抹布和手套，本项目产生约1t含油抹布和手套，储存在现有危废暂存间，定期交由佳木斯龙江环保再生资源有限公司集中处理。</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6、废活性炭</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项目活性炭吸附装置定期更换活性炭会产生废活性炭。年产生废活性炭0.5t/a，储存在现有危废暂存间，定期交由佳木斯龙江环保再生资源有限公司集中处理。</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7、废防冻液</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废油放净过程会产生部分废防冻液，产生量约1t/a，储存在现有危废暂存间，定期交由佳木斯龙江环保再生资源有限公司集中处理。</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8、废电路板</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产生的废电路板产生量约为1t/a，储存在现有危废暂存间，定期交佳木斯龙江环保再生资源有限公司集中处理。</w:t>
            </w:r>
          </w:p>
          <w:p>
            <w:pPr>
              <w:spacing w:line="360" w:lineRule="auto"/>
              <w:ind w:firstLine="570"/>
              <w:contextualSpacing/>
              <w:rPr>
                <w:rFonts w:ascii="Times New Roman" w:hAnsi="Times New Roman" w:eastAsiaTheme="minorEastAsia"/>
                <w:b/>
                <w:bCs/>
                <w:kern w:val="24"/>
                <w:sz w:val="24"/>
              </w:rPr>
            </w:pPr>
            <w:r>
              <w:rPr>
                <w:rFonts w:ascii="Times New Roman" w:hAnsi="Times New Roman" w:eastAsiaTheme="minorEastAsia"/>
                <w:b/>
                <w:bCs/>
                <w:kern w:val="24"/>
                <w:sz w:val="24"/>
              </w:rPr>
              <w:t>五、防渗工程</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本项目生产过程中产生的废铅酸蓄电池、废油液、废电路板、废防冻液、废活性炭分类收集的含油抹布及手套等为危险废物，利用现有危废暂存间，地面采用混凝土加防渗剂的防渗层，防渗系数不小于10</w:t>
            </w:r>
            <w:r>
              <w:rPr>
                <w:rFonts w:ascii="Times New Roman" w:hAnsi="Times New Roman" w:eastAsiaTheme="minorEastAsia"/>
                <w:bCs/>
                <w:kern w:val="24"/>
                <w:sz w:val="24"/>
                <w:vertAlign w:val="superscript"/>
              </w:rPr>
              <w:t>-7</w:t>
            </w:r>
            <w:r>
              <w:rPr>
                <w:rFonts w:ascii="Times New Roman" w:hAnsi="Times New Roman" w:eastAsiaTheme="minorEastAsia"/>
                <w:bCs/>
                <w:kern w:val="24"/>
                <w:sz w:val="24"/>
              </w:rPr>
              <w:t>cm/s。</w:t>
            </w:r>
          </w:p>
          <w:p>
            <w:pPr>
              <w:spacing w:line="360" w:lineRule="auto"/>
              <w:ind w:firstLine="570"/>
              <w:contextualSpacing/>
              <w:rPr>
                <w:rFonts w:ascii="Times New Roman" w:hAnsi="Times New Roman" w:eastAsiaTheme="minorEastAsia"/>
                <w:b/>
                <w:bCs/>
                <w:kern w:val="24"/>
                <w:sz w:val="24"/>
              </w:rPr>
            </w:pPr>
            <w:r>
              <w:rPr>
                <w:rFonts w:ascii="Times New Roman" w:hAnsi="Times New Roman" w:eastAsiaTheme="minorEastAsia"/>
                <w:b/>
                <w:bCs/>
                <w:kern w:val="24"/>
                <w:sz w:val="24"/>
              </w:rPr>
              <w:t>六、环境风险</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1、环境风险识别</w:t>
            </w:r>
          </w:p>
          <w:p>
            <w:pPr>
              <w:pStyle w:val="10"/>
              <w:spacing w:line="360" w:lineRule="auto"/>
              <w:rPr>
                <w:rFonts w:ascii="Times New Roman" w:hAnsi="Times New Roman" w:eastAsiaTheme="minorEastAsia"/>
                <w:szCs w:val="28"/>
              </w:rPr>
            </w:pPr>
            <w:r>
              <w:rPr>
                <w:rFonts w:ascii="Times New Roman" w:hAnsi="Times New Roman" w:eastAsiaTheme="minorEastAsia"/>
                <w:szCs w:val="28"/>
              </w:rPr>
              <w:t>风险识别范围包括生产设施识别和生产过程所涉及的危险物质识别，有毒有害物质扩散途径的识别（如大气环境、水环境、土壤等）。风险类型根据有毒有害物质放散起因，分为火灾、爆炸和泄漏三种类型。</w:t>
            </w:r>
          </w:p>
          <w:p>
            <w:pPr>
              <w:pStyle w:val="10"/>
              <w:spacing w:line="360" w:lineRule="auto"/>
              <w:rPr>
                <w:rFonts w:ascii="Times New Roman" w:hAnsi="Times New Roman" w:eastAsiaTheme="minorEastAsia"/>
                <w:szCs w:val="28"/>
              </w:rPr>
            </w:pPr>
            <w:r>
              <w:rPr>
                <w:rFonts w:ascii="Times New Roman" w:hAnsi="Times New Roman" w:eastAsiaTheme="minorEastAsia"/>
                <w:szCs w:val="28"/>
              </w:rPr>
              <w:t>本项目风险识别如下：</w:t>
            </w:r>
          </w:p>
          <w:p>
            <w:pPr>
              <w:pStyle w:val="10"/>
              <w:spacing w:line="360" w:lineRule="auto"/>
              <w:rPr>
                <w:rFonts w:ascii="Times New Roman" w:hAnsi="Times New Roman" w:eastAsiaTheme="minorEastAsia"/>
                <w:szCs w:val="28"/>
              </w:rPr>
            </w:pPr>
            <w:r>
              <w:rPr>
                <w:rFonts w:ascii="Times New Roman" w:hAnsi="Times New Roman" w:eastAsiaTheme="minorEastAsia"/>
                <w:szCs w:val="28"/>
              </w:rPr>
              <w:t>本项目危险物质主要为废油液和铅酸电池电解液。</w:t>
            </w:r>
          </w:p>
          <w:p>
            <w:pPr>
              <w:pStyle w:val="10"/>
              <w:spacing w:line="360" w:lineRule="auto"/>
              <w:rPr>
                <w:rFonts w:ascii="Times New Roman" w:hAnsi="Times New Roman" w:eastAsiaTheme="minorEastAsia"/>
                <w:szCs w:val="28"/>
              </w:rPr>
            </w:pPr>
            <w:r>
              <w:rPr>
                <w:rFonts w:ascii="Times New Roman" w:hAnsi="Times New Roman" w:eastAsiaTheme="minorEastAsia"/>
                <w:szCs w:val="28"/>
              </w:rPr>
              <w:t>（1）废油液泄漏、油箱拆解遇明火造成火灾爆炸风险事故影响分析</w:t>
            </w:r>
          </w:p>
          <w:p>
            <w:pPr>
              <w:pStyle w:val="10"/>
              <w:spacing w:line="360" w:lineRule="auto"/>
              <w:rPr>
                <w:rFonts w:ascii="Times New Roman" w:hAnsi="Times New Roman" w:eastAsiaTheme="minorEastAsia"/>
                <w:szCs w:val="28"/>
              </w:rPr>
            </w:pPr>
            <w:r>
              <w:rPr>
                <w:rFonts w:ascii="Times New Roman" w:hAnsi="Times New Roman" w:eastAsiaTheme="minorEastAsia"/>
                <w:szCs w:val="28"/>
              </w:rPr>
              <w:t>若柴油、废油液等危险物质发生泄漏，若遇到火源很容易就会被点燃而引发火灾，火灾燃烧产生的废气次生污染以及消防过程产生的消防废水也可能对区域空气、地表水、土壤、地下水等环境因素造成污染。</w:t>
            </w:r>
          </w:p>
          <w:p>
            <w:pPr>
              <w:pStyle w:val="10"/>
              <w:spacing w:line="360" w:lineRule="auto"/>
              <w:rPr>
                <w:rFonts w:ascii="Times New Roman" w:hAnsi="Times New Roman" w:eastAsiaTheme="minorEastAsia"/>
                <w:szCs w:val="28"/>
              </w:rPr>
            </w:pPr>
            <w:r>
              <w:rPr>
                <w:rFonts w:ascii="Times New Roman" w:hAnsi="Times New Roman" w:eastAsiaTheme="minorEastAsia"/>
                <w:szCs w:val="28"/>
              </w:rPr>
              <w:t>（2）铅酸电池电解液泄漏风险事故影响分析</w:t>
            </w:r>
          </w:p>
          <w:p>
            <w:pPr>
              <w:pStyle w:val="10"/>
              <w:spacing w:line="360" w:lineRule="auto"/>
              <w:rPr>
                <w:rFonts w:ascii="Times New Roman" w:hAnsi="Times New Roman" w:eastAsiaTheme="minorEastAsia"/>
                <w:szCs w:val="28"/>
              </w:rPr>
            </w:pPr>
            <w:r>
              <w:rPr>
                <w:rFonts w:ascii="Times New Roman" w:hAnsi="Times New Roman" w:eastAsiaTheme="minorEastAsia"/>
                <w:szCs w:val="28"/>
              </w:rPr>
              <w:t>废铅酸蓄电池采用专用的存放箱存放，若在搬运过程中箱子跌落，电池破损，泄漏的电解液直接泄漏在储存箱内。开启储存箱进行清理时，电解液中的硫酸少量挥发，对事故处理的工作人员和场区内环境空气造成影响，电解液泄漏至环境中可能对环境空气、地下水产生影响。</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2、环境风险防治措施</w:t>
            </w:r>
          </w:p>
          <w:p>
            <w:pPr>
              <w:spacing w:line="360" w:lineRule="auto"/>
              <w:ind w:firstLine="570"/>
              <w:contextualSpacing/>
              <w:rPr>
                <w:rFonts w:ascii="Times New Roman" w:hAnsi="Times New Roman" w:eastAsiaTheme="minorEastAsia"/>
                <w:bCs/>
                <w:kern w:val="24"/>
                <w:sz w:val="24"/>
              </w:rPr>
            </w:pPr>
            <w:r>
              <w:rPr>
                <w:rFonts w:hint="eastAsia" w:ascii="宋体" w:hAnsi="宋体" w:cs="宋体"/>
                <w:bCs/>
                <w:kern w:val="24"/>
                <w:sz w:val="24"/>
              </w:rPr>
              <w:t>①</w:t>
            </w:r>
            <w:r>
              <w:rPr>
                <w:rFonts w:ascii="Times New Roman" w:hAnsi="Times New Roman" w:eastAsiaTheme="minorEastAsia"/>
                <w:bCs/>
                <w:kern w:val="24"/>
                <w:sz w:val="24"/>
              </w:rPr>
              <w:t>拆解车间内严禁明火，严禁在未排空废油液的情况下进行油箱拆解。</w:t>
            </w:r>
          </w:p>
          <w:p>
            <w:pPr>
              <w:spacing w:line="360" w:lineRule="auto"/>
              <w:ind w:firstLine="570"/>
              <w:contextualSpacing/>
              <w:rPr>
                <w:rFonts w:ascii="Times New Roman" w:hAnsi="Times New Roman" w:eastAsiaTheme="minorEastAsia"/>
                <w:bCs/>
                <w:kern w:val="24"/>
                <w:sz w:val="24"/>
              </w:rPr>
            </w:pPr>
            <w:r>
              <w:rPr>
                <w:rFonts w:hint="eastAsia" w:ascii="宋体" w:hAnsi="宋体" w:cs="宋体"/>
                <w:bCs/>
                <w:kern w:val="24"/>
                <w:sz w:val="24"/>
              </w:rPr>
              <w:t>②</w:t>
            </w:r>
            <w:r>
              <w:rPr>
                <w:rFonts w:ascii="Times New Roman" w:hAnsi="Times New Roman" w:eastAsiaTheme="minorEastAsia"/>
                <w:bCs/>
                <w:kern w:val="24"/>
                <w:sz w:val="24"/>
              </w:rPr>
              <w:t>每年对灭火器材、设施进行检查，如有损坏或压力不足应及时维修更新。检测内容、时间、人员应有记录保存。安全检测应根据设备的安全性、危险性设定检测频次。在消防器材、设施放置处，安排相应的管理者负责。</w:t>
            </w:r>
          </w:p>
          <w:p>
            <w:pPr>
              <w:spacing w:line="360" w:lineRule="auto"/>
              <w:ind w:firstLine="570"/>
              <w:contextualSpacing/>
              <w:rPr>
                <w:rFonts w:ascii="Times New Roman" w:hAnsi="Times New Roman" w:eastAsiaTheme="minorEastAsia"/>
                <w:bCs/>
                <w:kern w:val="24"/>
                <w:sz w:val="24"/>
              </w:rPr>
            </w:pPr>
            <w:r>
              <w:rPr>
                <w:rFonts w:hint="eastAsia" w:ascii="宋体" w:hAnsi="宋体" w:cs="宋体"/>
                <w:bCs/>
                <w:kern w:val="24"/>
                <w:sz w:val="24"/>
              </w:rPr>
              <w:t>③</w:t>
            </w:r>
            <w:r>
              <w:rPr>
                <w:rFonts w:ascii="Times New Roman" w:hAnsi="Times New Roman" w:eastAsiaTheme="minorEastAsia"/>
                <w:bCs/>
                <w:kern w:val="24"/>
                <w:sz w:val="24"/>
              </w:rPr>
              <w:t>强化安全生产管理，必须制订岗位责任制，将责任落实到部门和个人严格遵守操作规程，严格遵守《化学危险品管理条例》及国家、地方关于易燃、易爆、有毒有害物料的  储运使用安全规定。</w:t>
            </w:r>
          </w:p>
          <w:p>
            <w:pPr>
              <w:spacing w:line="360" w:lineRule="auto"/>
              <w:ind w:firstLine="570"/>
              <w:contextualSpacing/>
              <w:rPr>
                <w:rFonts w:ascii="Times New Roman" w:hAnsi="Times New Roman" w:eastAsiaTheme="minorEastAsia"/>
                <w:bCs/>
                <w:kern w:val="24"/>
                <w:sz w:val="24"/>
              </w:rPr>
            </w:pPr>
            <w:r>
              <w:rPr>
                <w:rFonts w:hint="eastAsia" w:ascii="宋体" w:hAnsi="宋体" w:cs="宋体"/>
                <w:bCs/>
                <w:kern w:val="24"/>
                <w:sz w:val="24"/>
              </w:rPr>
              <w:t>④</w:t>
            </w:r>
            <w:r>
              <w:rPr>
                <w:rFonts w:ascii="Times New Roman" w:hAnsi="Times New Roman" w:eastAsiaTheme="minorEastAsia"/>
                <w:bCs/>
                <w:kern w:val="24"/>
                <w:sz w:val="24"/>
              </w:rPr>
              <w:t>建立健全环保及安全管理部门，该部门应加强监督检查，按规定监测厂内外空气及水体中的有毒有害物质，及时发现，立即处理，避免污染。</w:t>
            </w:r>
          </w:p>
          <w:p>
            <w:pPr>
              <w:spacing w:line="360" w:lineRule="auto"/>
              <w:ind w:firstLine="570"/>
              <w:contextualSpacing/>
              <w:rPr>
                <w:rFonts w:ascii="Times New Roman" w:hAnsi="Times New Roman" w:eastAsiaTheme="minorEastAsia"/>
                <w:bCs/>
                <w:kern w:val="24"/>
                <w:sz w:val="24"/>
              </w:rPr>
            </w:pPr>
            <w:r>
              <w:rPr>
                <w:rFonts w:hint="eastAsia" w:ascii="宋体" w:hAnsi="宋体" w:cs="宋体"/>
                <w:bCs/>
                <w:kern w:val="24"/>
                <w:sz w:val="24"/>
              </w:rPr>
              <w:t>⑤</w:t>
            </w:r>
            <w:r>
              <w:rPr>
                <w:rFonts w:ascii="Times New Roman" w:hAnsi="Times New Roman" w:eastAsiaTheme="minorEastAsia"/>
                <w:bCs/>
                <w:kern w:val="24"/>
                <w:sz w:val="24"/>
              </w:rPr>
              <w:t>建立事故应急预案，成立事故应急处理小组，由车间安全负责人担任事故应急小组组长，一旦发火灾等事故，应立即启动事故应急预案，并向有关环境管理部门汇报情况，协助环境管理部门进行应急监测等工作；</w:t>
            </w:r>
          </w:p>
          <w:p>
            <w:pPr>
              <w:spacing w:line="360" w:lineRule="auto"/>
              <w:ind w:firstLine="570"/>
              <w:contextualSpacing/>
              <w:rPr>
                <w:rFonts w:ascii="Times New Roman" w:hAnsi="Times New Roman" w:eastAsiaTheme="minorEastAsia"/>
                <w:bCs/>
                <w:kern w:val="24"/>
                <w:sz w:val="24"/>
              </w:rPr>
            </w:pPr>
            <w:r>
              <w:rPr>
                <w:rFonts w:hint="eastAsia" w:ascii="宋体" w:hAnsi="宋体" w:cs="宋体"/>
                <w:bCs/>
                <w:kern w:val="24"/>
                <w:sz w:val="24"/>
              </w:rPr>
              <w:t>⑥</w:t>
            </w:r>
            <w:r>
              <w:rPr>
                <w:rFonts w:ascii="Times New Roman" w:hAnsi="Times New Roman" w:eastAsiaTheme="minorEastAsia"/>
                <w:bCs/>
                <w:kern w:val="24"/>
                <w:sz w:val="24"/>
              </w:rPr>
              <w:t>在易燃原料贮存地点与使用易燃原料的设备处设立安全标志或涂刷相应的安全色。地面进行防腐防渗，并加强管理与维护，杜绝出现跑、冒、滴、漏现象。</w:t>
            </w:r>
          </w:p>
          <w:p>
            <w:pPr>
              <w:spacing w:line="360" w:lineRule="auto"/>
              <w:ind w:firstLine="570"/>
              <w:contextualSpacing/>
              <w:rPr>
                <w:rFonts w:ascii="Times New Roman" w:hAnsi="Times New Roman" w:eastAsiaTheme="minorEastAsia"/>
                <w:bCs/>
                <w:kern w:val="24"/>
                <w:sz w:val="24"/>
              </w:rPr>
            </w:pPr>
            <w:r>
              <w:rPr>
                <w:rFonts w:ascii="Times New Roman" w:hAnsi="Times New Roman" w:eastAsiaTheme="minorEastAsia"/>
                <w:bCs/>
                <w:kern w:val="24"/>
                <w:sz w:val="24"/>
              </w:rPr>
              <w:t>2、应急预案与应急管理机构设置情况调查</w:t>
            </w:r>
          </w:p>
          <w:p>
            <w:pPr>
              <w:pStyle w:val="10"/>
              <w:spacing w:line="360" w:lineRule="auto"/>
              <w:rPr>
                <w:rFonts w:ascii="Times New Roman" w:hAnsi="Times New Roman" w:eastAsiaTheme="minorEastAsia"/>
                <w:szCs w:val="28"/>
              </w:rPr>
            </w:pPr>
            <w:r>
              <w:rPr>
                <w:rFonts w:ascii="Times New Roman" w:hAnsi="Times New Roman" w:eastAsiaTheme="minorEastAsia"/>
                <w:szCs w:val="28"/>
              </w:rPr>
              <w:t>为防止和应对环境风险事故的发生，环境风险应急预案</w:t>
            </w:r>
            <w:r>
              <w:rPr>
                <w:rFonts w:hint="eastAsia" w:ascii="Times New Roman" w:hAnsi="Times New Roman" w:eastAsiaTheme="minorEastAsia"/>
                <w:szCs w:val="28"/>
              </w:rPr>
              <w:t>已</w:t>
            </w:r>
            <w:r>
              <w:rPr>
                <w:rFonts w:ascii="Times New Roman" w:hAnsi="Times New Roman" w:eastAsiaTheme="minorEastAsia"/>
                <w:szCs w:val="28"/>
              </w:rPr>
              <w:t>完成备案，配备了必要的应急设施和应急队伍，成立了专门的环境安全应急管理机构，加强了日常检查管理。</w:t>
            </w:r>
          </w:p>
          <w:p>
            <w:pPr>
              <w:spacing w:line="360" w:lineRule="auto"/>
              <w:ind w:firstLine="570"/>
              <w:contextualSpacing/>
              <w:rPr>
                <w:rFonts w:ascii="Times New Roman" w:hAnsi="Times New Roman" w:eastAsiaTheme="minorEastAsia"/>
                <w:b/>
                <w:color w:val="FF0000"/>
                <w:sz w:val="24"/>
              </w:rPr>
            </w:pPr>
          </w:p>
        </w:tc>
      </w:tr>
    </w:tbl>
    <w:p>
      <w:pPr>
        <w:pStyle w:val="2"/>
        <w:outlineLvl w:val="0"/>
        <w:rPr>
          <w:rFonts w:ascii="Times New Roman" w:hAnsi="Times New Roman" w:eastAsiaTheme="minorEastAsia"/>
          <w:b/>
          <w:bCs/>
          <w:color w:val="FF0000"/>
          <w:sz w:val="28"/>
          <w:szCs w:val="28"/>
        </w:rPr>
        <w:sectPr>
          <w:footerReference r:id="rId4" w:type="default"/>
          <w:pgSz w:w="11906" w:h="16838"/>
          <w:pgMar w:top="1440" w:right="1800" w:bottom="1440" w:left="1800" w:header="851" w:footer="992" w:gutter="0"/>
          <w:pgNumType w:start="1"/>
          <w:cols w:space="720" w:num="1"/>
          <w:docGrid w:type="lines" w:linePitch="312" w:charSpace="0"/>
        </w:sectPr>
      </w:pPr>
      <w:bookmarkStart w:id="36" w:name="_Toc1944"/>
      <w:bookmarkStart w:id="37" w:name="_Toc29903"/>
    </w:p>
    <w:tbl>
      <w:tblPr>
        <w:tblStyle w:val="22"/>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5" w:hRule="atLeast"/>
        </w:trPr>
        <w:tc>
          <w:tcPr>
            <w:tcW w:w="8940" w:type="dxa"/>
          </w:tcPr>
          <w:p>
            <w:pPr>
              <w:spacing w:line="360" w:lineRule="auto"/>
              <w:rPr>
                <w:rFonts w:ascii="Times New Roman" w:hAnsi="Times New Roman" w:eastAsiaTheme="minorEastAsia"/>
                <w:b/>
                <w:sz w:val="24"/>
              </w:rPr>
            </w:pPr>
            <w:r>
              <w:rPr>
                <w:rFonts w:ascii="Times New Roman" w:hAnsi="Times New Roman" w:eastAsiaTheme="minorEastAsia"/>
                <w:b/>
                <w:sz w:val="24"/>
              </w:rPr>
              <w:t>监测点位示意图：</w:t>
            </w:r>
          </w:p>
          <w:p>
            <w:pPr>
              <w:numPr>
                <w:ilvl w:val="0"/>
                <w:numId w:val="2"/>
              </w:numPr>
              <w:rPr>
                <w:rFonts w:ascii="Times New Roman" w:hAnsi="Times New Roman" w:eastAsiaTheme="minorEastAsia"/>
                <w:b/>
                <w:bCs/>
                <w:sz w:val="24"/>
                <w:szCs w:val="32"/>
              </w:rPr>
            </w:pPr>
            <w:r>
              <w:rPr>
                <w:rFonts w:ascii="Times New Roman" w:hAnsi="Times New Roman" w:eastAsiaTheme="minorEastAsia"/>
                <w:b/>
                <w:bCs/>
                <w:sz w:val="24"/>
                <w:szCs w:val="32"/>
              </w:rPr>
              <w:t>废气</w:t>
            </w:r>
          </w:p>
          <w:p>
            <w:pPr>
              <w:pStyle w:val="2"/>
              <w:jc w:val="both"/>
              <w:rPr>
                <w:rFonts w:ascii="Times New Roman" w:hAnsi="Times New Roman" w:eastAsiaTheme="minorEastAsia"/>
                <w:color w:val="FF0000"/>
              </w:rPr>
            </w:pPr>
          </w:p>
          <w:p>
            <w:pPr>
              <w:spacing w:line="360" w:lineRule="auto"/>
              <w:ind w:firstLine="403" w:firstLineChars="192"/>
              <w:jc w:val="center"/>
              <w:rPr>
                <w:rFonts w:ascii="Times New Roman" w:hAnsi="Times New Roman" w:eastAsiaTheme="minorEastAsia"/>
                <w:color w:val="FF0000"/>
              </w:rPr>
            </w:pPr>
            <w:r>
              <w:rPr>
                <w:rFonts w:ascii="Times New Roman" w:hAnsi="Times New Roman" w:eastAsiaTheme="minorEastAsia"/>
                <w:color w:val="FF0000"/>
              </w:rPr>
              <mc:AlternateContent>
                <mc:Choice Requires="wps">
                  <w:drawing>
                    <wp:anchor distT="0" distB="0" distL="114300" distR="114300" simplePos="0" relativeHeight="251678720" behindDoc="0" locked="0" layoutInCell="1" allowOverlap="1">
                      <wp:simplePos x="0" y="0"/>
                      <wp:positionH relativeFrom="column">
                        <wp:posOffset>2891155</wp:posOffset>
                      </wp:positionH>
                      <wp:positionV relativeFrom="paragraph">
                        <wp:posOffset>570865</wp:posOffset>
                      </wp:positionV>
                      <wp:extent cx="518160" cy="30670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51816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0000"/>
                                    </w:rPr>
                                  </w:pPr>
                                  <w:r>
                                    <w:rPr>
                                      <w:color w:val="FF000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65pt;margin-top:44.95pt;height:24.15pt;width:40.8pt;z-index:251678720;mso-width-relative:page;mso-height-relative:page;" filled="f" stroked="f" coordsize="21600,21600" o:gfxdata="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jz9UNoAAAAKAQAADwAAAAAAAAABACAAAAAi&#10;AAAAZHJzL2Rvd25yZXYueG1sUEsBAhQAFAAAAAgAh07iQBIapddBAgAAdwQAAA4AAAAAAAAAAQAg&#10;AAAAKQEAAGRycy9lMm9Eb2MueG1sUEsFBgAAAAAGAAYAWQEAANwFAAAAAA==&#10;">
                      <v:fill on="f" focussize="0,0"/>
                      <v:stroke on="f" weight="0.5pt"/>
                      <v:imagedata o:title=""/>
                      <o:lock v:ext="edit" aspectratio="f"/>
                      <v:textbox>
                        <w:txbxContent>
                          <w:p>
                            <w:pPr>
                              <w:rPr>
                                <w:color w:val="FF0000"/>
                              </w:rPr>
                            </w:pPr>
                            <w:r>
                              <w:rPr>
                                <w:color w:val="FF0000"/>
                              </w:rPr>
                              <w:t>4#</w:t>
                            </w:r>
                          </w:p>
                        </w:txbxContent>
                      </v:textbox>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73600" behindDoc="0" locked="0" layoutInCell="1" allowOverlap="1">
                      <wp:simplePos x="0" y="0"/>
                      <wp:positionH relativeFrom="column">
                        <wp:posOffset>2861310</wp:posOffset>
                      </wp:positionH>
                      <wp:positionV relativeFrom="paragraph">
                        <wp:posOffset>722630</wp:posOffset>
                      </wp:positionV>
                      <wp:extent cx="102235" cy="111125"/>
                      <wp:effectExtent l="0" t="0" r="12700" b="22860"/>
                      <wp:wrapNone/>
                      <wp:docPr id="84" name="椭圆 84"/>
                      <wp:cNvGraphicFramePr/>
                      <a:graphic xmlns:a="http://schemas.openxmlformats.org/drawingml/2006/main">
                        <a:graphicData uri="http://schemas.microsoft.com/office/word/2010/wordprocessingShape">
                          <wps:wsp>
                            <wps:cNvSpPr/>
                            <wps:spPr>
                              <a:xfrm>
                                <a:off x="0" y="0"/>
                                <a:ext cx="102235" cy="111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5.3pt;margin-top:56.9pt;height:8.75pt;width:8.05pt;z-index:251673600;v-text-anchor:middle;mso-width-relative:page;mso-height-relative:page;" filled="f" stroked="t" coordsize="21600,21600" o:gfxdata="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aew+91gAAAAsBAAAPAAAAAAAAAAEAIAAAACIAAABkcnMvZG93bnJldi54bWxQ&#10;SwECFAAUAAAACACHTuJAmY3JJWsCAADPBAAADgAAAAAAAAABACAAAAAlAQAAZHJzL2Uyb0RvYy54&#10;bWxQSwUGAAAAAAYABgBZAQAAAgYAAAAA&#10;">
                      <v:fill on="f" focussize="0,0"/>
                      <v:stroke weight="1pt" color="#FF0000 [3204]" miterlimit="8" joinstyle="miter"/>
                      <v:imagedata o:title=""/>
                      <o:lock v:ext="edit" aspectratio="f"/>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76672" behindDoc="0" locked="0" layoutInCell="1" allowOverlap="1">
                      <wp:simplePos x="0" y="0"/>
                      <wp:positionH relativeFrom="column">
                        <wp:posOffset>2400935</wp:posOffset>
                      </wp:positionH>
                      <wp:positionV relativeFrom="paragraph">
                        <wp:posOffset>507365</wp:posOffset>
                      </wp:positionV>
                      <wp:extent cx="518160" cy="30670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51816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05pt;margin-top:39.95pt;height:24.15pt;width:40.8pt;z-index:251676672;mso-width-relative:page;mso-height-relative:page;" filled="f" stroked="f" coordsize="21600,21600" o:gfxdata="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SsbTa2wAAAAoBAAAPAAAAAAAAAAEAIAAA&#10;ACIAAABkcnMvZG93bnJldi54bWxQSwECFAAUAAAACACHTuJAzDkPskICAAB1BAAADgAAAAAAAAAB&#10;ACAAAAAqAQAAZHJzL2Uyb0RvYy54bWxQSwUGAAAAAAYABgBZAQAA3gUAAAAA&#10;">
                      <v:fill on="f" focussize="0,0"/>
                      <v:stroke on="f" weight="0.5pt"/>
                      <v:imagedata o:title=""/>
                      <o:lock v:ext="edit" aspectratio="f"/>
                      <v:textbox>
                        <w:txbxContent>
                          <w:p>
                            <w:pPr>
                              <w:rPr>
                                <w:color w:val="FF0000"/>
                              </w:rPr>
                            </w:pPr>
                            <w:r>
                              <w:rPr>
                                <w:color w:val="FF0000"/>
                              </w:rPr>
                              <w:t>3#</w:t>
                            </w:r>
                          </w:p>
                        </w:txbxContent>
                      </v:textbox>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74624" behindDoc="0" locked="0" layoutInCell="1" allowOverlap="1">
                      <wp:simplePos x="0" y="0"/>
                      <wp:positionH relativeFrom="column">
                        <wp:posOffset>2584450</wp:posOffset>
                      </wp:positionH>
                      <wp:positionV relativeFrom="paragraph">
                        <wp:posOffset>701040</wp:posOffset>
                      </wp:positionV>
                      <wp:extent cx="102235" cy="111125"/>
                      <wp:effectExtent l="0" t="0" r="12700" b="22860"/>
                      <wp:wrapNone/>
                      <wp:docPr id="85" name="椭圆 85"/>
                      <wp:cNvGraphicFramePr/>
                      <a:graphic xmlns:a="http://schemas.openxmlformats.org/drawingml/2006/main">
                        <a:graphicData uri="http://schemas.microsoft.com/office/word/2010/wordprocessingShape">
                          <wps:wsp>
                            <wps:cNvSpPr/>
                            <wps:spPr>
                              <a:xfrm>
                                <a:off x="0" y="0"/>
                                <a:ext cx="102235" cy="111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5pt;margin-top:55.2pt;height:8.75pt;width:8.05pt;z-index:251674624;v-text-anchor:middle;mso-width-relative:page;mso-height-relative:page;" filled="f" stroked="t" coordsize="21600,21600" o:gfxdata="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ligQx1wAAAAsBAAAPAAAAAAAAAAEAIAAAACIAAABkcnMvZG93bnJldi54bWxQ&#10;SwECFAAUAAAACACHTuJAj6ts9moCAADPBAAADgAAAAAAAAABACAAAAAmAQAAZHJzL2Uyb0RvYy54&#10;bWxQSwUGAAAAAAYABgBZAQAAAgYAAAAA&#10;">
                      <v:fill on="f" focussize="0,0"/>
                      <v:stroke weight="1pt" color="#FF0000 [3204]" miterlimit="8" joinstyle="miter"/>
                      <v:imagedata o:title=""/>
                      <o:lock v:ext="edit" aspectratio="f"/>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77696" behindDoc="0" locked="0" layoutInCell="1" allowOverlap="1">
                      <wp:simplePos x="0" y="0"/>
                      <wp:positionH relativeFrom="column">
                        <wp:posOffset>1936750</wp:posOffset>
                      </wp:positionH>
                      <wp:positionV relativeFrom="paragraph">
                        <wp:posOffset>871220</wp:posOffset>
                      </wp:positionV>
                      <wp:extent cx="518160" cy="30670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51816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pt;margin-top:68.6pt;height:24.15pt;width:40.8pt;z-index:251677696;mso-width-relative:page;mso-height-relative:page;" filled="f" stroked="f" coordsize="21600,21600" o:gfxdata="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sXzc2wAAAAsBAAAPAAAAAAAAAAEAIAAA&#10;ACIAAABkcnMvZG93bnJldi54bWxQSwECFAAUAAAACACHTuJAecl7YEICAAB1BAAADgAAAAAAAAAB&#10;ACAAAAAqAQAAZHJzL2Uyb0RvYy54bWxQSwUGAAAAAAYABgBZAQAA3gUAAAAA&#10;">
                      <v:fill on="f" focussize="0,0"/>
                      <v:stroke on="f" weight="0.5pt"/>
                      <v:imagedata o:title=""/>
                      <o:lock v:ext="edit" aspectratio="f"/>
                      <v:textbox>
                        <w:txbxContent>
                          <w:p>
                            <w:pPr>
                              <w:rPr>
                                <w:color w:val="FF0000"/>
                              </w:rPr>
                            </w:pPr>
                            <w:r>
                              <w:rPr>
                                <w:color w:val="FF0000"/>
                              </w:rPr>
                              <w:t>2#</w:t>
                            </w:r>
                          </w:p>
                        </w:txbxContent>
                      </v:textbox>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72576" behindDoc="0" locked="0" layoutInCell="1" allowOverlap="1">
                      <wp:simplePos x="0" y="0"/>
                      <wp:positionH relativeFrom="column">
                        <wp:posOffset>2208530</wp:posOffset>
                      </wp:positionH>
                      <wp:positionV relativeFrom="paragraph">
                        <wp:posOffset>906780</wp:posOffset>
                      </wp:positionV>
                      <wp:extent cx="102235" cy="111125"/>
                      <wp:effectExtent l="0" t="0" r="12700" b="22860"/>
                      <wp:wrapNone/>
                      <wp:docPr id="83" name="椭圆 83"/>
                      <wp:cNvGraphicFramePr/>
                      <a:graphic xmlns:a="http://schemas.openxmlformats.org/drawingml/2006/main">
                        <a:graphicData uri="http://schemas.microsoft.com/office/word/2010/wordprocessingShape">
                          <wps:wsp>
                            <wps:cNvSpPr/>
                            <wps:spPr>
                              <a:xfrm>
                                <a:off x="0" y="0"/>
                                <a:ext cx="102235" cy="111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3.9pt;margin-top:71.4pt;height:8.75pt;width:8.05pt;z-index:251672576;v-text-anchor:middle;mso-width-relative:page;mso-height-relative:page;" filled="f" stroked="t" coordsize="21600,21600" o:gfxdata="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0p9EtcAAAALAQAADwAAAAAAAAABACAAAAAiAAAAZHJzL2Rvd25yZXYueG1s&#10;UEsBAhQAFAAAAAgAh07iQDh1IXJrAgAAzwQAAA4AAAAAAAAAAQAgAAAAJgEAAGRycy9lMm9Eb2Mu&#10;eG1sUEsFBgAAAAAGAAYAWQEAAAMGAAAAAA==&#10;">
                      <v:fill on="f" focussize="0,0"/>
                      <v:stroke weight="1pt" color="#FF0000 [3204]" miterlimit="8" joinstyle="miter"/>
                      <v:imagedata o:title=""/>
                      <o:lock v:ext="edit" aspectratio="f"/>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75648" behindDoc="0" locked="0" layoutInCell="1" allowOverlap="1">
                      <wp:simplePos x="0" y="0"/>
                      <wp:positionH relativeFrom="column">
                        <wp:posOffset>2573655</wp:posOffset>
                      </wp:positionH>
                      <wp:positionV relativeFrom="paragraph">
                        <wp:posOffset>1595755</wp:posOffset>
                      </wp:positionV>
                      <wp:extent cx="518160" cy="30670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51816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1</w:t>
                                  </w:r>
                                  <w:r>
                                    <w:rPr>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65pt;margin-top:125.65pt;height:24.15pt;width:40.8pt;z-index:251675648;mso-width-relative:page;mso-height-relative:page;" filled="f" stroked="f" coordsize="21600,21600" o:gfxdata="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VBE/NwAAAALAQAADwAAAAAAAAABACAA&#10;AAAiAAAAZHJzL2Rvd25yZXYueG1sUEsBAhQAFAAAAAgAh07iQFyKtBdCAgAAdQQAAA4AAAAAAAAA&#10;AQAgAAAAKwEAAGRycy9lMm9Eb2MueG1sUEsFBgAAAAAGAAYAWQEAAN8FAAAAAA==&#10;">
                      <v:fill on="f" focussize="0,0"/>
                      <v:stroke on="f" weight="0.5pt"/>
                      <v:imagedata o:title=""/>
                      <o:lock v:ext="edit" aspectratio="f"/>
                      <v:textbox>
                        <w:txbxContent>
                          <w:p>
                            <w:pPr>
                              <w:rPr>
                                <w:color w:val="FF0000"/>
                              </w:rPr>
                            </w:pPr>
                            <w:r>
                              <w:rPr>
                                <w:rFonts w:hint="eastAsia"/>
                                <w:color w:val="FF0000"/>
                              </w:rPr>
                              <w:t>1</w:t>
                            </w:r>
                            <w:r>
                              <w:rPr>
                                <w:color w:val="FF0000"/>
                              </w:rPr>
                              <w:t>#</w:t>
                            </w:r>
                          </w:p>
                        </w:txbxContent>
                      </v:textbox>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71552" behindDoc="0" locked="0" layoutInCell="1" allowOverlap="1">
                      <wp:simplePos x="0" y="0"/>
                      <wp:positionH relativeFrom="column">
                        <wp:posOffset>2505075</wp:posOffset>
                      </wp:positionH>
                      <wp:positionV relativeFrom="paragraph">
                        <wp:posOffset>1673860</wp:posOffset>
                      </wp:positionV>
                      <wp:extent cx="102235" cy="111125"/>
                      <wp:effectExtent l="0" t="0" r="12700" b="22860"/>
                      <wp:wrapNone/>
                      <wp:docPr id="68" name="椭圆 68"/>
                      <wp:cNvGraphicFramePr/>
                      <a:graphic xmlns:a="http://schemas.openxmlformats.org/drawingml/2006/main">
                        <a:graphicData uri="http://schemas.microsoft.com/office/word/2010/wordprocessingShape">
                          <wps:wsp>
                            <wps:cNvSpPr/>
                            <wps:spPr>
                              <a:xfrm>
                                <a:off x="0" y="0"/>
                                <a:ext cx="102235" cy="111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7.25pt;margin-top:131.8pt;height:8.75pt;width:8.05pt;z-index:251671552;v-text-anchor:middle;mso-width-relative:page;mso-height-relative:page;" filled="f" stroked="t" coordsize="21600,21600" o:gfxdata="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B1T39cAAAALAQAADwAAAAAAAAABACAAAAAiAAAAZHJzL2Rvd25yZXYueG1s&#10;UEsBAhQAFAAAAAgAh07iQPvHXm5rAgAAzwQAAA4AAAAAAAAAAQAgAAAAJgEAAGRycy9lMm9Eb2Mu&#10;eG1sUEsFBgAAAAAGAAYAWQEAAAMGAAAAAA==&#10;">
                      <v:fill on="f" focussize="0,0"/>
                      <v:stroke weight="1pt" color="#FF0000 [3204]" miterlimit="8" joinstyle="miter"/>
                      <v:imagedata o:title=""/>
                      <o:lock v:ext="edit" aspectratio="f"/>
                    </v:shape>
                  </w:pict>
                </mc:Fallback>
              </mc:AlternateContent>
            </w:r>
            <w:r>
              <w:rPr>
                <w:rFonts w:ascii="Times New Roman" w:hAnsi="Times New Roman"/>
              </w:rPr>
              <w:drawing>
                <wp:anchor distT="0" distB="0" distL="114300" distR="114300" simplePos="0" relativeHeight="251691008" behindDoc="0" locked="0" layoutInCell="1" allowOverlap="1">
                  <wp:simplePos x="0" y="0"/>
                  <wp:positionH relativeFrom="column">
                    <wp:posOffset>4549775</wp:posOffset>
                  </wp:positionH>
                  <wp:positionV relativeFrom="paragraph">
                    <wp:posOffset>26035</wp:posOffset>
                  </wp:positionV>
                  <wp:extent cx="578485" cy="62928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83003" cy="634445"/>
                          </a:xfrm>
                          <a:prstGeom prst="rect">
                            <a:avLst/>
                          </a:prstGeom>
                        </pic:spPr>
                      </pic:pic>
                    </a:graphicData>
                  </a:graphic>
                </wp:anchor>
              </w:drawing>
            </w:r>
            <w:r>
              <w:rPr>
                <w:rFonts w:ascii="Times New Roman" w:hAnsi="Times New Roman"/>
              </w:rPr>
              <w:drawing>
                <wp:inline distT="0" distB="0" distL="0" distR="0">
                  <wp:extent cx="4457700" cy="2673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467003" cy="2678973"/>
                          </a:xfrm>
                          <a:prstGeom prst="rect">
                            <a:avLst/>
                          </a:prstGeom>
                        </pic:spPr>
                      </pic:pic>
                    </a:graphicData>
                  </a:graphic>
                </wp:inline>
              </w:drawing>
            </w:r>
          </w:p>
          <w:p>
            <w:pPr>
              <w:rPr>
                <w:rFonts w:ascii="Times New Roman" w:hAnsi="Times New Roman" w:eastAsiaTheme="minorEastAsia"/>
                <w:color w:val="FF0000"/>
              </w:rPr>
            </w:pPr>
          </w:p>
          <w:p>
            <w:pPr>
              <w:jc w:val="center"/>
              <w:rPr>
                <w:rFonts w:ascii="Times New Roman" w:hAnsi="Times New Roman" w:eastAsiaTheme="minorEastAsia"/>
                <w:b/>
                <w:bCs/>
                <w:sz w:val="24"/>
              </w:rPr>
            </w:pPr>
            <w:r>
              <w:rPr>
                <w:rFonts w:ascii="Times New Roman" w:hAnsi="Times New Roman" w:eastAsiaTheme="minorEastAsia"/>
                <w:b/>
                <w:bCs/>
                <w:sz w:val="24"/>
              </w:rPr>
              <w:t>图3-1无组织废气监测点位示意图</w:t>
            </w:r>
          </w:p>
          <w:p>
            <w:pPr>
              <w:numPr>
                <w:ilvl w:val="0"/>
                <w:numId w:val="2"/>
              </w:numPr>
              <w:rPr>
                <w:rFonts w:ascii="Times New Roman" w:hAnsi="Times New Roman" w:eastAsiaTheme="minorEastAsia"/>
                <w:b/>
                <w:bCs/>
                <w:sz w:val="24"/>
              </w:rPr>
            </w:pPr>
            <w:r>
              <w:rPr>
                <w:rFonts w:ascii="Times New Roman" w:hAnsi="Times New Roman" w:eastAsiaTheme="minorEastAsia"/>
                <w:b/>
                <w:bCs/>
                <w:sz w:val="24"/>
              </w:rPr>
              <w:t>噪声</w:t>
            </w:r>
          </w:p>
          <w:p>
            <w:pPr>
              <w:jc w:val="center"/>
              <w:rPr>
                <w:rFonts w:ascii="Times New Roman" w:hAnsi="Times New Roman" w:eastAsiaTheme="minorEastAsia"/>
                <w:b/>
                <w:bCs/>
                <w:color w:val="FF0000"/>
                <w:sz w:val="24"/>
              </w:rPr>
            </w:pPr>
            <w:r>
              <w:rPr>
                <w:rFonts w:ascii="Times New Roman" w:hAnsi="Times New Roman" w:eastAsiaTheme="minorEastAsia"/>
                <w:color w:val="FF0000"/>
              </w:rPr>
              <mc:AlternateContent>
                <mc:Choice Requires="wps">
                  <w:drawing>
                    <wp:anchor distT="0" distB="0" distL="114300" distR="114300" simplePos="0" relativeHeight="251666432" behindDoc="0" locked="0" layoutInCell="1" allowOverlap="1">
                      <wp:simplePos x="0" y="0"/>
                      <wp:positionH relativeFrom="column">
                        <wp:posOffset>2835275</wp:posOffset>
                      </wp:positionH>
                      <wp:positionV relativeFrom="paragraph">
                        <wp:posOffset>1104265</wp:posOffset>
                      </wp:positionV>
                      <wp:extent cx="597535" cy="25781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597535"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00"/>
                                    </w:rPr>
                                  </w:pPr>
                                  <w:r>
                                    <w:rPr>
                                      <w:rFonts w:hint="eastAsia"/>
                                      <w:color w:val="FFFF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25pt;margin-top:86.95pt;height:20.3pt;width:47.05pt;z-index:251666432;mso-width-relative:page;mso-height-relative:page;" filled="f" stroked="f" coordsize="21600,21600" o:gfxdata="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RhV03AAAAAsBAAAPAAAAAAAAAAEA&#10;IAAAACIAAABkcnMvZG93bnJldi54bWxQSwECFAAUAAAACACHTuJA/QolZEQCAAB1BAAADgAAAAAA&#10;AAABACAAAAArAQAAZHJzL2Uyb0RvYy54bWxQSwUGAAAAAAYABgBZAQAA4QUAAAAA&#10;">
                      <v:fill on="f" focussize="0,0"/>
                      <v:stroke on="f" weight="0.5pt"/>
                      <v:imagedata o:title=""/>
                      <o:lock v:ext="edit" aspectratio="f"/>
                      <v:textbox>
                        <w:txbxContent>
                          <w:p>
                            <w:pPr>
                              <w:rPr>
                                <w:color w:val="FFFF00"/>
                              </w:rPr>
                            </w:pPr>
                            <w:r>
                              <w:rPr>
                                <w:rFonts w:hint="eastAsia"/>
                                <w:color w:val="FFFF00"/>
                              </w:rPr>
                              <w:t>1#</w:t>
                            </w:r>
                          </w:p>
                        </w:txbxContent>
                      </v:textbox>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63360" behindDoc="0" locked="0" layoutInCell="1" allowOverlap="1">
                      <wp:simplePos x="0" y="0"/>
                      <wp:positionH relativeFrom="column">
                        <wp:posOffset>2868930</wp:posOffset>
                      </wp:positionH>
                      <wp:positionV relativeFrom="paragraph">
                        <wp:posOffset>1045210</wp:posOffset>
                      </wp:positionV>
                      <wp:extent cx="114935" cy="76200"/>
                      <wp:effectExtent l="19050" t="19050" r="37465" b="19050"/>
                      <wp:wrapNone/>
                      <wp:docPr id="9" name="等腰三角形 9"/>
                      <wp:cNvGraphicFramePr/>
                      <a:graphic xmlns:a="http://schemas.openxmlformats.org/drawingml/2006/main">
                        <a:graphicData uri="http://schemas.microsoft.com/office/word/2010/wordprocessingShape">
                          <wps:wsp>
                            <wps:cNvSpPr/>
                            <wps:spPr>
                              <a:xfrm>
                                <a:off x="0" y="0"/>
                                <a:ext cx="114935" cy="762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25.9pt;margin-top:82.3pt;height:6pt;width:9.05pt;z-index:251663360;v-text-anchor:middle;mso-width-relative:page;mso-height-relative:page;" fillcolor="#FFFF00" filled="t" stroked="t" coordsize="21600,21600" o:gfxdata="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7TYKZ1wAAAAsBAAAPAAAAAAAAAAEAIAAAACIA&#10;AABkcnMvZG93bnJldi54bWxQSwECFAAUAAAACACHTuJAozlIhHwCAAD/BAAADgAAAAAAAAABACAA&#10;AAAmAQAAZHJzL2Uyb0RvYy54bWxQSwUGAAAAAAYABgBZAQAAFAYAAAAA&#10;" adj="10800">
                      <v:fill on="t" focussize="0,0"/>
                      <v:stroke weight="1pt" color="#FFFF00 [3204]" miterlimit="8" joinstyle="miter"/>
                      <v:imagedata o:title=""/>
                      <o:lock v:ext="edit" aspectratio="f"/>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67456" behindDoc="0" locked="0" layoutInCell="1" allowOverlap="1">
                      <wp:simplePos x="0" y="0"/>
                      <wp:positionH relativeFrom="column">
                        <wp:posOffset>2788285</wp:posOffset>
                      </wp:positionH>
                      <wp:positionV relativeFrom="paragraph">
                        <wp:posOffset>1422400</wp:posOffset>
                      </wp:positionV>
                      <wp:extent cx="597535" cy="25781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97535"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00"/>
                                    </w:rPr>
                                  </w:pPr>
                                  <w:r>
                                    <w:rPr>
                                      <w:color w:val="FFFF00"/>
                                    </w:rPr>
                                    <w:t>2</w:t>
                                  </w:r>
                                  <w:r>
                                    <w:rPr>
                                      <w:rFonts w:hint="eastAsia"/>
                                      <w:color w:val="FFFF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55pt;margin-top:112pt;height:20.3pt;width:47.05pt;z-index:251667456;mso-width-relative:page;mso-height-relative:page;" filled="f" stroked="f" coordsize="21600,21600" o:gfxdata="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iK0HL3AAAAAsBAAAPAAAAAAAAAAEA&#10;IAAAACIAAABkcnMvZG93bnJldi54bWxQSwECFAAUAAAACACHTuJAgCOM5EQCAAB1BAAADgAAAAAA&#10;AAABACAAAAArAQAAZHJzL2Uyb0RvYy54bWxQSwUGAAAAAAYABgBZAQAA4QUAAAAA&#10;">
                      <v:fill on="f" focussize="0,0"/>
                      <v:stroke on="f" weight="0.5pt"/>
                      <v:imagedata o:title=""/>
                      <o:lock v:ext="edit" aspectratio="f"/>
                      <v:textbox>
                        <w:txbxContent>
                          <w:p>
                            <w:pPr>
                              <w:rPr>
                                <w:color w:val="FFFF00"/>
                              </w:rPr>
                            </w:pPr>
                            <w:r>
                              <w:rPr>
                                <w:color w:val="FFFF00"/>
                              </w:rPr>
                              <w:t>2</w:t>
                            </w:r>
                            <w:r>
                              <w:rPr>
                                <w:rFonts w:hint="eastAsia"/>
                                <w:color w:val="FFFF00"/>
                              </w:rPr>
                              <w:t>#</w:t>
                            </w:r>
                          </w:p>
                        </w:txbxContent>
                      </v:textbox>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61312" behindDoc="0" locked="0" layoutInCell="1" allowOverlap="1">
                      <wp:simplePos x="0" y="0"/>
                      <wp:positionH relativeFrom="column">
                        <wp:posOffset>2719705</wp:posOffset>
                      </wp:positionH>
                      <wp:positionV relativeFrom="paragraph">
                        <wp:posOffset>1547495</wp:posOffset>
                      </wp:positionV>
                      <wp:extent cx="114935" cy="76200"/>
                      <wp:effectExtent l="19050" t="19050" r="37465" b="19050"/>
                      <wp:wrapNone/>
                      <wp:docPr id="5" name="等腰三角形 5"/>
                      <wp:cNvGraphicFramePr/>
                      <a:graphic xmlns:a="http://schemas.openxmlformats.org/drawingml/2006/main">
                        <a:graphicData uri="http://schemas.microsoft.com/office/word/2010/wordprocessingShape">
                          <wps:wsp>
                            <wps:cNvSpPr/>
                            <wps:spPr>
                              <a:xfrm>
                                <a:off x="0" y="0"/>
                                <a:ext cx="114935" cy="762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4.15pt;margin-top:121.85pt;height:6pt;width:9.05pt;z-index:251661312;v-text-anchor:middle;mso-width-relative:page;mso-height-relative:page;" fillcolor="#FFFF00" filled="t" stroked="t" coordsize="21600,21600" o:gfxdata="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yx339gAAAALAQAADwAAAAAAAAABACAAAAAi&#10;AAAAZHJzL2Rvd25yZXYueG1sUEsBAhQAFAAAAAgAh07iQC8TjH58AgAA/wQAAA4AAAAAAAAAAQAg&#10;AAAAJwEAAGRycy9lMm9Eb2MueG1sUEsFBgAAAAAGAAYAWQEAABUGAAAAAA==&#10;" adj="10800">
                      <v:fill on="t" focussize="0,0"/>
                      <v:stroke weight="1pt" color="#FFFF00 [3204]" miterlimit="8" joinstyle="miter"/>
                      <v:imagedata o:title=""/>
                      <o:lock v:ext="edit" aspectratio="f"/>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65408" behindDoc="0" locked="0" layoutInCell="1" allowOverlap="1">
                      <wp:simplePos x="0" y="0"/>
                      <wp:positionH relativeFrom="column">
                        <wp:posOffset>2237740</wp:posOffset>
                      </wp:positionH>
                      <wp:positionV relativeFrom="paragraph">
                        <wp:posOffset>1344930</wp:posOffset>
                      </wp:positionV>
                      <wp:extent cx="114935" cy="76200"/>
                      <wp:effectExtent l="19050" t="19050" r="37465" b="19050"/>
                      <wp:wrapNone/>
                      <wp:docPr id="11" name="等腰三角形 11"/>
                      <wp:cNvGraphicFramePr/>
                      <a:graphic xmlns:a="http://schemas.openxmlformats.org/drawingml/2006/main">
                        <a:graphicData uri="http://schemas.microsoft.com/office/word/2010/wordprocessingShape">
                          <wps:wsp>
                            <wps:cNvSpPr/>
                            <wps:spPr>
                              <a:xfrm>
                                <a:off x="0" y="0"/>
                                <a:ext cx="114935" cy="762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76.2pt;margin-top:105.9pt;height:6pt;width:9.05pt;z-index:251665408;v-text-anchor:middle;mso-width-relative:page;mso-height-relative:page;" fillcolor="#FFFF00" filled="t" stroked="t" coordsize="21600,21600" o:gfxdata="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OtsK9cAAAALAQAADwAAAAAAAAABACAAAAAi&#10;AAAAZHJzL2Rvd25yZXYueG1sUEsBAhQAFAAAAAgAh07iQNw81mN9AgAAAQUAAA4AAAAAAAAAAQAg&#10;AAAAJgEAAGRycy9lMm9Eb2MueG1sUEsFBgAAAAAGAAYAWQEAABUGAAAAAA==&#10;" adj="10800">
                      <v:fill on="t" focussize="0,0"/>
                      <v:stroke weight="1pt" color="#FFFF00 [3204]" miterlimit="8" joinstyle="miter"/>
                      <v:imagedata o:title=""/>
                      <o:lock v:ext="edit" aspectratio="f"/>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68480" behindDoc="0" locked="0" layoutInCell="1" allowOverlap="1">
                      <wp:simplePos x="0" y="0"/>
                      <wp:positionH relativeFrom="column">
                        <wp:posOffset>2031365</wp:posOffset>
                      </wp:positionH>
                      <wp:positionV relativeFrom="paragraph">
                        <wp:posOffset>1138555</wp:posOffset>
                      </wp:positionV>
                      <wp:extent cx="597535" cy="25781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97535"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00"/>
                                    </w:rPr>
                                  </w:pPr>
                                  <w:r>
                                    <w:rPr>
                                      <w:rFonts w:hint="eastAsia"/>
                                      <w:color w:val="FFFF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95pt;margin-top:89.65pt;height:20.3pt;width:47.05pt;z-index:251668480;mso-width-relative:page;mso-height-relative:page;" filled="f" stroked="f" coordsize="21600,21600" o:gfxdata="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X68R9sAAAALAQAADwAAAAAAAAABACAA&#10;AAAiAAAAZHJzL2Rvd25yZXYueG1sUEsBAhQAFAAAAAgAh07iQDXT+DZDAgAAdQQAAA4AAAAAAAAA&#10;AQAgAAAAKgEAAGRycy9lMm9Eb2MueG1sUEsFBgAAAAAGAAYAWQEAAN8FAAAAAA==&#10;">
                      <v:fill on="f" focussize="0,0"/>
                      <v:stroke on="f" weight="0.5pt"/>
                      <v:imagedata o:title=""/>
                      <o:lock v:ext="edit" aspectratio="f"/>
                      <v:textbox>
                        <w:txbxContent>
                          <w:p>
                            <w:pPr>
                              <w:rPr>
                                <w:color w:val="FFFF00"/>
                              </w:rPr>
                            </w:pPr>
                            <w:r>
                              <w:rPr>
                                <w:rFonts w:hint="eastAsia"/>
                                <w:color w:val="FFFF00"/>
                              </w:rPr>
                              <w:t>3#</w:t>
                            </w:r>
                          </w:p>
                        </w:txbxContent>
                      </v:textbox>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69504" behindDoc="0" locked="0" layoutInCell="1" allowOverlap="1">
                      <wp:simplePos x="0" y="0"/>
                      <wp:positionH relativeFrom="column">
                        <wp:posOffset>2414905</wp:posOffset>
                      </wp:positionH>
                      <wp:positionV relativeFrom="paragraph">
                        <wp:posOffset>629920</wp:posOffset>
                      </wp:positionV>
                      <wp:extent cx="597535" cy="25781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97535"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00"/>
                                    </w:rPr>
                                  </w:pPr>
                                  <w:r>
                                    <w:rPr>
                                      <w:rFonts w:hint="eastAsia"/>
                                      <w:color w:val="FFFF0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15pt;margin-top:49.6pt;height:20.3pt;width:47.05pt;z-index:251669504;mso-width-relative:page;mso-height-relative:page;" filled="f" stroked="f" coordsize="21600,21600" o:gfxdata="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wKrLbAAAACgEAAA8AAAAAAAAAAQAg&#10;AAAAIgAAAGRycy9kb3ducmV2LnhtbFBLAQIUABQAAAAIAIdO4kCrxBSbRAIAAHUEAAAOAAAAAAAA&#10;AAEAIAAAACoBAABkcnMvZTJvRG9jLnhtbFBLBQYAAAAABgAGAFkBAADgBQAAAAA=&#10;">
                      <v:fill on="f" focussize="0,0"/>
                      <v:stroke on="f" weight="0.5pt"/>
                      <v:imagedata o:title=""/>
                      <o:lock v:ext="edit" aspectratio="f"/>
                      <v:textbox>
                        <w:txbxContent>
                          <w:p>
                            <w:pPr>
                              <w:rPr>
                                <w:color w:val="FFFF00"/>
                              </w:rPr>
                            </w:pPr>
                            <w:r>
                              <w:rPr>
                                <w:rFonts w:hint="eastAsia"/>
                                <w:color w:val="FFFF00"/>
                              </w:rPr>
                              <w:t>4#</w:t>
                            </w:r>
                          </w:p>
                        </w:txbxContent>
                      </v:textbox>
                    </v:shape>
                  </w:pict>
                </mc:Fallback>
              </mc:AlternateContent>
            </w:r>
            <w:r>
              <w:rPr>
                <w:rFonts w:ascii="Times New Roman" w:hAnsi="Times New Roman" w:eastAsiaTheme="minorEastAsia"/>
                <w:color w:val="FF0000"/>
              </w:rPr>
              <mc:AlternateContent>
                <mc:Choice Requires="wps">
                  <w:drawing>
                    <wp:anchor distT="0" distB="0" distL="114300" distR="114300" simplePos="0" relativeHeight="251664384" behindDoc="0" locked="0" layoutInCell="1" allowOverlap="1">
                      <wp:simplePos x="0" y="0"/>
                      <wp:positionH relativeFrom="column">
                        <wp:posOffset>2383155</wp:posOffset>
                      </wp:positionH>
                      <wp:positionV relativeFrom="paragraph">
                        <wp:posOffset>807085</wp:posOffset>
                      </wp:positionV>
                      <wp:extent cx="114935" cy="76200"/>
                      <wp:effectExtent l="19050" t="19050" r="37465" b="19050"/>
                      <wp:wrapNone/>
                      <wp:docPr id="10" name="等腰三角形 10"/>
                      <wp:cNvGraphicFramePr/>
                      <a:graphic xmlns:a="http://schemas.openxmlformats.org/drawingml/2006/main">
                        <a:graphicData uri="http://schemas.microsoft.com/office/word/2010/wordprocessingShape">
                          <wps:wsp>
                            <wps:cNvSpPr/>
                            <wps:spPr>
                              <a:xfrm>
                                <a:off x="0" y="0"/>
                                <a:ext cx="114935" cy="762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7.65pt;margin-top:63.55pt;height:6pt;width:9.05pt;z-index:251664384;v-text-anchor:middle;mso-width-relative:page;mso-height-relative:page;" fillcolor="#FFFF00" filled="t" stroked="t" coordsize="21600,21600" o:gfxdata="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rB8A11gAAAAsBAAAPAAAAAAAAAAEAIAAAACIA&#10;AABkcnMvZG93bnJldi54bWxQSwECFAAUAAAACACHTuJA3EmKZn0CAAABBQAADgAAAAAAAAABACAA&#10;AAAlAQAAZHJzL2Uyb0RvYy54bWxQSwUGAAAAAAYABgBZAQAAFAYAAAAA&#10;" adj="10800">
                      <v:fill on="t" focussize="0,0"/>
                      <v:stroke weight="1pt" color="#FFFF00 [3204]" miterlimit="8" joinstyle="miter"/>
                      <v:imagedata o:title=""/>
                      <o:lock v:ext="edit" aspectratio="f"/>
                    </v:shape>
                  </w:pict>
                </mc:Fallback>
              </mc:AlternateContent>
            </w:r>
            <w:r>
              <w:rPr>
                <w:rFonts w:ascii="Times New Roman" w:hAnsi="Times New Roman"/>
              </w:rPr>
              <w:drawing>
                <wp:inline distT="0" distB="0" distL="0" distR="0">
                  <wp:extent cx="4457700" cy="2673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467003" cy="2678973"/>
                          </a:xfrm>
                          <a:prstGeom prst="rect">
                            <a:avLst/>
                          </a:prstGeom>
                        </pic:spPr>
                      </pic:pic>
                    </a:graphicData>
                  </a:graphic>
                </wp:inline>
              </w:drawing>
            </w:r>
            <w:r>
              <w:rPr>
                <w:rFonts w:ascii="Times New Roman" w:hAnsi="Times New Roman" w:eastAsiaTheme="minorEastAsia"/>
                <w:b/>
                <w:color w:val="FF0000"/>
                <w:sz w:val="24"/>
              </w:rPr>
              <w:drawing>
                <wp:anchor distT="0" distB="0" distL="114300" distR="114300" simplePos="0" relativeHeight="251670528" behindDoc="0" locked="0" layoutInCell="1" allowOverlap="1">
                  <wp:simplePos x="0" y="0"/>
                  <wp:positionH relativeFrom="column">
                    <wp:posOffset>4453255</wp:posOffset>
                  </wp:positionH>
                  <wp:positionV relativeFrom="paragraph">
                    <wp:posOffset>33655</wp:posOffset>
                  </wp:positionV>
                  <wp:extent cx="595630" cy="673735"/>
                  <wp:effectExtent l="0" t="0" r="0" b="0"/>
                  <wp:wrapNone/>
                  <wp:docPr id="18" name="图片 18" descr="360截图2021051016091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60截图202105101609123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5630" cy="673735"/>
                          </a:xfrm>
                          <a:prstGeom prst="rect">
                            <a:avLst/>
                          </a:prstGeom>
                          <a:noFill/>
                          <a:ln>
                            <a:noFill/>
                          </a:ln>
                        </pic:spPr>
                      </pic:pic>
                    </a:graphicData>
                  </a:graphic>
                </wp:anchor>
              </w:drawing>
            </w:r>
          </w:p>
          <w:p>
            <w:pPr>
              <w:spacing w:line="360" w:lineRule="auto"/>
              <w:ind w:firstLine="463" w:firstLineChars="192"/>
              <w:jc w:val="center"/>
              <w:rPr>
                <w:rFonts w:ascii="Times New Roman" w:hAnsi="Times New Roman" w:eastAsiaTheme="minorEastAsia"/>
                <w:b/>
                <w:bCs/>
                <w:sz w:val="24"/>
              </w:rPr>
            </w:pPr>
            <w:r>
              <w:rPr>
                <w:rFonts w:ascii="Times New Roman" w:hAnsi="Times New Roman" w:eastAsiaTheme="minorEastAsia"/>
                <w:b/>
                <w:bCs/>
                <w:sz w:val="24"/>
              </w:rPr>
              <w:t>图3-2噪声监测点位示意图</w:t>
            </w:r>
          </w:p>
          <w:p>
            <w:pPr>
              <w:rPr>
                <w:rFonts w:ascii="Times New Roman" w:hAnsi="Times New Roman" w:eastAsiaTheme="minorEastAsia"/>
                <w:b/>
                <w:bCs/>
                <w:color w:val="FF0000"/>
                <w:sz w:val="24"/>
              </w:rPr>
            </w:pPr>
          </w:p>
        </w:tc>
      </w:tr>
    </w:tbl>
    <w:p>
      <w:pPr>
        <w:pStyle w:val="2"/>
        <w:outlineLvl w:val="0"/>
        <w:rPr>
          <w:rFonts w:ascii="Times New Roman" w:hAnsi="Times New Roman" w:eastAsiaTheme="minorEastAsia"/>
          <w:b/>
          <w:bCs/>
          <w:color w:val="FF0000"/>
          <w:sz w:val="28"/>
          <w:szCs w:val="28"/>
        </w:rPr>
        <w:sectPr>
          <w:pgSz w:w="11906" w:h="16838"/>
          <w:pgMar w:top="1440" w:right="1800" w:bottom="1440" w:left="1800" w:header="851" w:footer="992" w:gutter="0"/>
          <w:cols w:space="720" w:num="1"/>
          <w:docGrid w:type="lines" w:linePitch="312" w:charSpace="0"/>
        </w:sectPr>
      </w:pPr>
    </w:p>
    <w:p>
      <w:pPr>
        <w:pStyle w:val="2"/>
        <w:outlineLvl w:val="0"/>
        <w:rPr>
          <w:rFonts w:ascii="Times New Roman" w:hAnsi="Times New Roman" w:eastAsiaTheme="minorEastAsia"/>
          <w:b/>
          <w:bCs/>
          <w:color w:val="auto"/>
          <w:sz w:val="28"/>
          <w:szCs w:val="28"/>
        </w:rPr>
      </w:pPr>
      <w:r>
        <w:rPr>
          <w:rFonts w:ascii="Times New Roman" w:hAnsi="Times New Roman" w:eastAsiaTheme="minorEastAsia"/>
          <w:b/>
          <w:bCs/>
          <w:color w:val="auto"/>
          <w:sz w:val="28"/>
          <w:szCs w:val="28"/>
        </w:rPr>
        <w:t>表四</w:t>
      </w:r>
      <w:bookmarkEnd w:id="36"/>
      <w:r>
        <w:rPr>
          <w:rFonts w:ascii="Times New Roman" w:hAnsi="Times New Roman" w:eastAsiaTheme="minorEastAsia"/>
          <w:b/>
          <w:bCs/>
          <w:color w:val="auto"/>
          <w:sz w:val="28"/>
          <w:szCs w:val="28"/>
        </w:rPr>
        <w:t>建设项目环评报告表的主要结论与建议及审批部门审批决定</w:t>
      </w:r>
      <w:bookmarkEnd w:id="37"/>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rPr>
                <w:rFonts w:ascii="Times New Roman" w:hAnsi="Times New Roman" w:eastAsiaTheme="minorEastAsia"/>
                <w:b/>
                <w:sz w:val="28"/>
                <w:szCs w:val="28"/>
              </w:rPr>
            </w:pPr>
            <w:bookmarkStart w:id="38" w:name="_Toc7152"/>
            <w:r>
              <w:rPr>
                <w:rFonts w:ascii="Times New Roman" w:hAnsi="Times New Roman" w:eastAsiaTheme="minorEastAsia"/>
                <w:b/>
                <w:sz w:val="28"/>
                <w:szCs w:val="28"/>
              </w:rPr>
              <w:t>建设项目环评报告表的主要结论与建议及审批部门审批决定</w:t>
            </w:r>
            <w:bookmarkEnd w:id="38"/>
            <w:r>
              <w:rPr>
                <w:rFonts w:ascii="Times New Roman" w:hAnsi="Times New Roman" w:eastAsiaTheme="minorEastAsia"/>
                <w:b/>
                <w:sz w:val="28"/>
                <w:szCs w:val="28"/>
              </w:rPr>
              <w:t>：</w:t>
            </w:r>
          </w:p>
          <w:p>
            <w:pPr>
              <w:pStyle w:val="29"/>
              <w:rPr>
                <w:rFonts w:ascii="Times New Roman" w:hAnsi="Times New Roman" w:eastAsiaTheme="minorEastAsia"/>
              </w:rPr>
            </w:pPr>
            <w:bookmarkStart w:id="39" w:name="_Toc11588"/>
            <w:bookmarkStart w:id="40" w:name="_Toc15132"/>
            <w:bookmarkStart w:id="41" w:name="_Toc6484"/>
            <w:bookmarkStart w:id="42" w:name="_Toc24560"/>
            <w:bookmarkStart w:id="43" w:name="_Toc2923"/>
            <w:r>
              <w:rPr>
                <w:rFonts w:ascii="Times New Roman" w:hAnsi="Times New Roman" w:eastAsiaTheme="minorEastAsia"/>
              </w:rPr>
              <w:t>项目与国家政策及相关规划相符，选址合理可行，平面布置合理。项目在运营中将产生一定的废气、污水、噪声及固体废物的污染，在认真落实报告表提出的各项环保措施的前提下，污染物可做到达标排放，固废可得到妥善处置，噪声不会出现扰民现象，项目运营期项目建设及运营对周边环境的影响可满足环境功能区划的要求，从环境保护角度而言，项目建设可行。</w:t>
            </w:r>
          </w:p>
          <w:p>
            <w:pPr>
              <w:spacing w:line="360" w:lineRule="auto"/>
              <w:jc w:val="left"/>
              <w:outlineLvl w:val="1"/>
              <w:rPr>
                <w:rFonts w:ascii="Times New Roman" w:hAnsi="Times New Roman" w:eastAsiaTheme="minorEastAsia"/>
                <w:b/>
                <w:sz w:val="24"/>
              </w:rPr>
            </w:pPr>
            <w:r>
              <w:rPr>
                <w:rFonts w:ascii="Times New Roman" w:hAnsi="Times New Roman" w:eastAsiaTheme="minorEastAsia"/>
                <w:b/>
                <w:sz w:val="24"/>
              </w:rPr>
              <w:t>二、审批部门审批决定</w:t>
            </w:r>
            <w:bookmarkEnd w:id="39"/>
            <w:bookmarkEnd w:id="40"/>
            <w:bookmarkEnd w:id="41"/>
            <w:bookmarkEnd w:id="42"/>
            <w:bookmarkEnd w:id="43"/>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黑龙江远辰科技产业有限公司:</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你单位报送的由哈尔滨泽生环境科技有限公司编制的《报废农业机械回收拆解项目环境影响报告表》已收悉。经审查研究，现批复如下:</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一、该建项目建设地点为黑龙江桦川经济开发区内。该项目为新建项目。建设内容:本项目建设内容主要包括办公室、拆解车间和仓库，项目建成后形成年回收拆解1000台报废农用机的生产规模，项目不进行回收/拆解报废机动车、不回收废金属及加工。建设内容详见《报告表》。</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二、根据该《报告表》结论，在《报告表》内容真实可信的前提下，在认真落实《报告表》提出的各项环境保护防治措施的情况下，从环境保护角度分析，同意本项目在拟定地址建设。《报告表》可以作为项目实施、验收和环境管理的依据。</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三、该项目要切实落实《报告表》中提出的环境保护措施，确保该项目所产生的各类污染物能够稳定达标排放。</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 xml:space="preserve"> (一）加强对水环境的保护。项目废水主要为生活污水，员工生活产生的生活污水，满足《污水综合排放标准》(GB8978-1996）三级标准，排入市政管网。</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二）把控固体废物污染措施。项目固体废物主要为生活垃圾、一般固废及危险废物。厂内生活垃圾经收集后定期由桦川县中峰城巿环境服务有限公司清运。拆解产物分类后余下的无利用价值的废革片、土屑等，为一般固废，此类废物集中收集后与生活垃圾一同交由桦川县中峰城市环境服务有限公司清运处理。</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本项目使用布袋除尘器，布袋使用寿命为1-3年，定期检查，发现损坏及时更换，收集后由桦川县中峰城市环境服务有限公司定期清运。</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本项目切割过程中产生的铁屑约为2t/a,集中收集后由桦川县中峰城市环境服务有限公司定期清运，定期卖给回收单位。</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拆解预处理时放净的废油液、含油抹布和手套、拆下的废铅酸蓄电池为危险废物。此类废物属于危险废物。本项目仅拆下蓄电池，不对蓄电池进行拆解，经收集后暂存于危废暂存间，定期交有资质单位处理。</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废矿物油类主要产生于发动机与变速箱废油放净;此外，报废农机因长期使用某些部位积存油垢，拆解时作干清理;拆解区地面不定期清理油垢;主要为废润滑油、废机油和废柴油，内燃机、汽车、轮船等集中拆解过程产生的废矿物油及油泥，经收集后暂存于危废暂存间，定期交有资质单位处理。</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在清理油垢时会产生含油抹布和手套，本项目产生约1t含油抹布和手套HW49 (900-041-49）含有或沾染毒性、感染性危险废物的废弃包装物、容器、过滤吸附介质，经收集后暂存于危废暂存间，定期交有资质单位处理。</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项目活性炭吸附装置定期更换活性炭会产生废活性炭。年更换活性炭1次，经分类收集后暂存于其他危废暂存间，定期交有资质单位处理。</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废油放净过程会产生部分废防冻液“HWO6废有机溶剂与含有机溶剂废物”中的“900-404-06 工业生产中作为清洗剂、萃取剂、溶剂或反应介质使用后废弃的其他列入《危险化学品目录》的有机.溶剂，以及在使用前混合的含有一种或多种上述溶剂的混合/调和溶剂”，经分类收集后暂存于废油液暂存间，定期交有资质单位处理。</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根据类比同类项目，拆解过程产生1000个废电路板，此类废物属于危险废物，本项目仅拆下电路板，不对电路板进行拆解。</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三）做好大气污染防治工作。本项目预处理过程挥发废气有组织排放经活性炭吸附装置由15m高排气筒，切割废气经布袋除尘器由15m高排气筒，应达标排放。废油液挥发产生的VOCs无组织排放，切割粉尘经封闭式厂房阻隔后无组织排放，项目无组织排放废气粉尘排放浓度能够满足《大气污染物综合排放标准》(GB16297-1996）表2中无组织排放监控浓度限值要求。厂区内厂房外有机废气排放满足《挥发性有机物无组织排放控制标准》(GB37822-2019）附录A中厂区内VOCs无组织排放监控要求。</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四〉落实各项噪声污染防治措施。本项目投产后，通过对厂内高噪声设备采取减振处理等防治措施，并经过厂房隔声，对于钢铁装卸产生的偶发性噪声，在装卸过程中尽量做到轻拿轻放，西侧厂界噪声可满足《工业企业厂界环境噪声排放标准》(GB12348-2008）中4a类标准限值要求，南侧、北侧、东侧噪声排放执行《工业企业厂界环境噪声排放标准》(GB12348-2008）中的3类标准。</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四、佳木斯市桦川生态环境保护综合行政执法大队组织开展该建设项目环境保护事中事后监管工作。</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五、本项目建设要严格执行环境保护设施与主体工程同时设计、同时施工、同时投产使用的环境保护“三同时”制度。在启动生产设施或者在实际排污之前，建设单位应依法申请取得排污许可证或者填报排污登记表。项目建成后，应按规定程序申请竣工环境保护验收。经验收合格后，方可正式投入运营。</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六、环境影响报告表经批准后，项目的性质、规模、地点或者防治污染的措施发生重大变动的，应当重新报批该项目的环境影响报告表。自环境影响报告表批复文件批准之日起，如超过5年方决定开工建设的，环境影响报告表应当重新审核。</w:t>
            </w:r>
          </w:p>
          <w:p>
            <w:pPr>
              <w:pStyle w:val="2"/>
              <w:jc w:val="both"/>
              <w:rPr>
                <w:rFonts w:ascii="Times New Roman" w:hAnsi="Times New Roman"/>
              </w:rPr>
            </w:pPr>
          </w:p>
          <w:p>
            <w:pPr>
              <w:rPr>
                <w:rFonts w:ascii="Times New Roman" w:hAnsi="Times New Roman"/>
              </w:rPr>
            </w:pPr>
          </w:p>
          <w:p>
            <w:pPr>
              <w:pStyle w:val="2"/>
              <w:jc w:val="both"/>
              <w:rPr>
                <w:rFonts w:ascii="Times New Roman" w:hAnsi="Times New Roman"/>
              </w:rPr>
            </w:pPr>
          </w:p>
          <w:p>
            <w:pPr>
              <w:rPr>
                <w:rFonts w:ascii="Times New Roman" w:hAnsi="Times New Roman"/>
              </w:rPr>
            </w:pPr>
          </w:p>
          <w:p>
            <w:pPr>
              <w:pStyle w:val="2"/>
              <w:jc w:val="both"/>
              <w:rPr>
                <w:rFonts w:ascii="Times New Roman" w:hAnsi="Times New Roman"/>
              </w:rPr>
            </w:pPr>
          </w:p>
          <w:p>
            <w:pPr>
              <w:rPr>
                <w:rFonts w:ascii="Times New Roman" w:hAnsi="Times New Roman"/>
              </w:rPr>
            </w:pPr>
          </w:p>
          <w:p>
            <w:pPr>
              <w:pStyle w:val="2"/>
              <w:jc w:val="both"/>
              <w:rPr>
                <w:rFonts w:ascii="Times New Roman" w:hAnsi="Times New Roman"/>
              </w:rPr>
            </w:pPr>
          </w:p>
          <w:p>
            <w:pPr>
              <w:rPr>
                <w:rFonts w:ascii="Times New Roman" w:hAnsi="Times New Roman"/>
              </w:rPr>
            </w:pPr>
          </w:p>
          <w:p>
            <w:pPr>
              <w:pStyle w:val="2"/>
              <w:jc w:val="both"/>
              <w:rPr>
                <w:rFonts w:ascii="Times New Roman" w:hAnsi="Times New Roman"/>
              </w:rPr>
            </w:pPr>
          </w:p>
          <w:p>
            <w:pPr>
              <w:rPr>
                <w:rFonts w:ascii="Times New Roman" w:hAnsi="Times New Roman"/>
              </w:rPr>
            </w:pPr>
          </w:p>
          <w:p>
            <w:pPr>
              <w:pStyle w:val="2"/>
              <w:jc w:val="both"/>
              <w:rPr>
                <w:rFonts w:ascii="Times New Roman" w:hAnsi="Times New Roman"/>
              </w:rPr>
            </w:pPr>
          </w:p>
          <w:p>
            <w:pPr>
              <w:spacing w:line="360" w:lineRule="auto"/>
              <w:ind w:firstLine="480" w:firstLineChars="200"/>
              <w:jc w:val="right"/>
              <w:rPr>
                <w:rFonts w:ascii="Times New Roman" w:hAnsi="Times New Roman" w:eastAsiaTheme="minorEastAsia"/>
                <w:sz w:val="24"/>
              </w:rPr>
            </w:pPr>
            <w:r>
              <w:rPr>
                <w:rFonts w:ascii="Times New Roman" w:hAnsi="Times New Roman" w:eastAsiaTheme="minorEastAsia"/>
                <w:sz w:val="24"/>
              </w:rPr>
              <w:t>2022年12月16日</w:t>
            </w:r>
          </w:p>
          <w:p>
            <w:pPr>
              <w:pStyle w:val="2"/>
              <w:jc w:val="right"/>
              <w:rPr>
                <w:rFonts w:ascii="Times New Roman" w:hAnsi="Times New Roman" w:eastAsiaTheme="minorEastAsia"/>
                <w:color w:val="FF0000"/>
                <w:kern w:val="2"/>
              </w:rPr>
            </w:pPr>
          </w:p>
        </w:tc>
      </w:tr>
    </w:tbl>
    <w:p>
      <w:pPr>
        <w:spacing w:line="360" w:lineRule="auto"/>
        <w:outlineLvl w:val="0"/>
        <w:rPr>
          <w:rFonts w:ascii="Times New Roman" w:hAnsi="Times New Roman" w:eastAsiaTheme="minorEastAsia"/>
          <w:b/>
          <w:color w:val="FF0000"/>
          <w:sz w:val="28"/>
          <w:szCs w:val="28"/>
        </w:rPr>
        <w:sectPr>
          <w:pgSz w:w="11906" w:h="16838"/>
          <w:pgMar w:top="1440" w:right="1800" w:bottom="1440" w:left="1800" w:header="851" w:footer="992" w:gutter="0"/>
          <w:cols w:space="720" w:num="1"/>
          <w:docGrid w:type="lines" w:linePitch="312" w:charSpace="0"/>
        </w:sectPr>
      </w:pPr>
      <w:bookmarkStart w:id="44" w:name="_Toc19615"/>
      <w:bookmarkStart w:id="45" w:name="_Toc22422"/>
    </w:p>
    <w:p>
      <w:pPr>
        <w:spacing w:line="360" w:lineRule="auto"/>
        <w:outlineLvl w:val="0"/>
        <w:rPr>
          <w:rFonts w:ascii="Times New Roman" w:hAnsi="Times New Roman" w:eastAsiaTheme="minorEastAsia"/>
          <w:b/>
          <w:sz w:val="28"/>
          <w:szCs w:val="28"/>
        </w:rPr>
      </w:pPr>
      <w:r>
        <w:rPr>
          <w:rFonts w:ascii="Times New Roman" w:hAnsi="Times New Roman" w:eastAsiaTheme="minorEastAsia"/>
          <w:b/>
          <w:sz w:val="28"/>
          <w:szCs w:val="28"/>
        </w:rPr>
        <w:t>表五</w:t>
      </w:r>
      <w:bookmarkEnd w:id="44"/>
      <w:r>
        <w:rPr>
          <w:rFonts w:ascii="Times New Roman" w:hAnsi="Times New Roman" w:eastAsiaTheme="minorEastAsia"/>
          <w:b/>
          <w:sz w:val="28"/>
          <w:szCs w:val="28"/>
        </w:rPr>
        <w:t>验收监测质量保证及质量控制</w:t>
      </w:r>
      <w:bookmarkEnd w:id="45"/>
    </w:p>
    <w:tbl>
      <w:tblPr>
        <w:tblStyle w:val="22"/>
        <w:tblW w:w="9011"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8" w:hRule="atLeast"/>
        </w:trPr>
        <w:tc>
          <w:tcPr>
            <w:tcW w:w="9011" w:type="dxa"/>
          </w:tcPr>
          <w:p>
            <w:pPr>
              <w:spacing w:before="62" w:beforeLines="20" w:line="360" w:lineRule="auto"/>
              <w:rPr>
                <w:rFonts w:ascii="Times New Roman" w:hAnsi="Times New Roman" w:eastAsiaTheme="minorEastAsia"/>
                <w:sz w:val="28"/>
                <w:szCs w:val="28"/>
              </w:rPr>
            </w:pPr>
            <w:r>
              <w:rPr>
                <w:rFonts w:ascii="Times New Roman" w:hAnsi="Times New Roman" w:eastAsiaTheme="minorEastAsia"/>
                <w:b/>
                <w:bCs/>
                <w:sz w:val="28"/>
                <w:szCs w:val="28"/>
              </w:rPr>
              <w:t>验收监测质量保证及质量控制：</w:t>
            </w:r>
          </w:p>
          <w:p>
            <w:pPr>
              <w:spacing w:line="360" w:lineRule="auto"/>
              <w:ind w:firstLine="482" w:firstLineChars="200"/>
              <w:jc w:val="left"/>
              <w:outlineLvl w:val="1"/>
              <w:rPr>
                <w:rFonts w:ascii="Times New Roman" w:hAnsi="Times New Roman" w:eastAsiaTheme="minorEastAsia"/>
                <w:b/>
                <w:sz w:val="24"/>
              </w:rPr>
            </w:pPr>
            <w:r>
              <w:rPr>
                <w:rFonts w:ascii="Times New Roman" w:hAnsi="Times New Roman" w:eastAsiaTheme="minorEastAsia"/>
                <w:b/>
                <w:sz w:val="24"/>
              </w:rPr>
              <w:t>一、监测质量保证措施</w:t>
            </w:r>
          </w:p>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1.1按照《大气污染物综合排放标准》（GB16297-1996）、《挥发性有机物无组织排放控制标准》（GB37822-2019）、《污水综合排放标准》（GB8979-1996）、《工业企业厂界环境噪声排放标准》（GB12348-2008）等规定，对监测的全过程进行质量保证和控制。</w:t>
            </w:r>
          </w:p>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1.2参加验收监测的技术人员，经过技术培训考核，持证上岗。</w:t>
            </w:r>
          </w:p>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1.3使用的监测仪器设备经计量部门检定合格，并在有效期内。</w:t>
            </w:r>
          </w:p>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1.4现场采样和检测均在生产设备和环保设施正常运行情况下进行，且设施运行负荷在75%以上。</w:t>
            </w:r>
          </w:p>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1.5测期间，同步记录生产状况、环保设施运行情况，保证监测期间生产负荷在规定范围内和环保设施处于正常运行状态。</w:t>
            </w:r>
          </w:p>
          <w:p>
            <w:pPr>
              <w:spacing w:line="360" w:lineRule="auto"/>
              <w:ind w:firstLine="482" w:firstLineChars="200"/>
              <w:jc w:val="left"/>
              <w:outlineLvl w:val="1"/>
              <w:rPr>
                <w:rFonts w:ascii="Times New Roman" w:hAnsi="Times New Roman" w:eastAsiaTheme="minorEastAsia"/>
                <w:b/>
                <w:sz w:val="24"/>
              </w:rPr>
            </w:pPr>
            <w:r>
              <w:rPr>
                <w:rFonts w:ascii="Times New Roman" w:hAnsi="Times New Roman" w:eastAsiaTheme="minorEastAsia"/>
                <w:b/>
                <w:sz w:val="24"/>
              </w:rPr>
              <w:t>二、监测分析方法</w:t>
            </w:r>
          </w:p>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检测项目、检测标准方法及编号、检测仪器见表5-1。</w:t>
            </w:r>
          </w:p>
          <w:p>
            <w:pPr>
              <w:spacing w:line="360" w:lineRule="auto"/>
              <w:ind w:firstLine="482" w:firstLineChars="200"/>
              <w:jc w:val="center"/>
              <w:rPr>
                <w:rFonts w:ascii="Times New Roman" w:hAnsi="Times New Roman" w:eastAsiaTheme="minorEastAsia"/>
                <w:b/>
                <w:bCs/>
                <w:sz w:val="24"/>
              </w:rPr>
            </w:pPr>
            <w:r>
              <w:rPr>
                <w:rFonts w:ascii="Times New Roman" w:hAnsi="Times New Roman" w:eastAsiaTheme="minorEastAsia"/>
                <w:b/>
                <w:bCs/>
                <w:sz w:val="24"/>
              </w:rPr>
              <w:t>表5-1监测分析方法</w:t>
            </w:r>
          </w:p>
          <w:tbl>
            <w:tblPr>
              <w:tblStyle w:val="2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674"/>
              <w:gridCol w:w="1143"/>
              <w:gridCol w:w="1295"/>
              <w:gridCol w:w="51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057" w:type="dxa"/>
                  <w:vAlign w:val="center"/>
                </w:tcPr>
                <w:p>
                  <w:pPr>
                    <w:jc w:val="center"/>
                    <w:rPr>
                      <w:rFonts w:ascii="Times New Roman" w:hAnsi="Times New Roman"/>
                      <w:szCs w:val="21"/>
                    </w:rPr>
                  </w:pPr>
                  <w:r>
                    <w:rPr>
                      <w:rFonts w:ascii="Times New Roman" w:hAnsi="Times New Roman"/>
                      <w:szCs w:val="21"/>
                    </w:rPr>
                    <w:t>类别</w:t>
                  </w:r>
                </w:p>
              </w:tc>
              <w:tc>
                <w:tcPr>
                  <w:tcW w:w="1538" w:type="dxa"/>
                  <w:vAlign w:val="center"/>
                </w:tcPr>
                <w:p>
                  <w:pPr>
                    <w:jc w:val="center"/>
                    <w:rPr>
                      <w:rFonts w:ascii="Times New Roman" w:hAnsi="Times New Roman"/>
                      <w:szCs w:val="21"/>
                    </w:rPr>
                  </w:pPr>
                  <w:r>
                    <w:rPr>
                      <w:rFonts w:ascii="Times New Roman" w:hAnsi="Times New Roman"/>
                      <w:szCs w:val="21"/>
                    </w:rPr>
                    <w:t>检测项目</w:t>
                  </w:r>
                </w:p>
              </w:tc>
              <w:tc>
                <w:tcPr>
                  <w:tcW w:w="3110" w:type="dxa"/>
                  <w:vAlign w:val="center"/>
                </w:tcPr>
                <w:p>
                  <w:pPr>
                    <w:jc w:val="center"/>
                    <w:rPr>
                      <w:rFonts w:ascii="Times New Roman" w:hAnsi="Times New Roman"/>
                      <w:szCs w:val="21"/>
                    </w:rPr>
                  </w:pPr>
                  <w:r>
                    <w:rPr>
                      <w:rFonts w:ascii="Times New Roman" w:hAnsi="Times New Roman"/>
                      <w:szCs w:val="21"/>
                    </w:rPr>
                    <w:t>仪器名称</w:t>
                  </w:r>
                </w:p>
              </w:tc>
              <w:tc>
                <w:tcPr>
                  <w:tcW w:w="1432" w:type="dxa"/>
                  <w:vAlign w:val="center"/>
                </w:tcPr>
                <w:p>
                  <w:pPr>
                    <w:jc w:val="center"/>
                    <w:rPr>
                      <w:rFonts w:ascii="Times New Roman" w:hAnsi="Times New Roman"/>
                      <w:szCs w:val="21"/>
                    </w:rPr>
                  </w:pPr>
                  <w:r>
                    <w:rPr>
                      <w:rFonts w:ascii="Times New Roman" w:hAnsi="Times New Roman"/>
                      <w:szCs w:val="21"/>
                    </w:rPr>
                    <w:t>型  号</w:t>
                  </w:r>
                </w:p>
              </w:tc>
              <w:tc>
                <w:tcPr>
                  <w:tcW w:w="1934" w:type="dxa"/>
                  <w:vAlign w:val="center"/>
                </w:tcPr>
                <w:p>
                  <w:pPr>
                    <w:jc w:val="center"/>
                    <w:rPr>
                      <w:rFonts w:ascii="Times New Roman" w:hAnsi="Times New Roman"/>
                      <w:szCs w:val="21"/>
                    </w:rPr>
                  </w:pPr>
                  <w:r>
                    <w:rPr>
                      <w:rFonts w:ascii="Times New Roman" w:hAnsi="Times New Roman"/>
                      <w:szCs w:val="21"/>
                    </w:rPr>
                    <w:t>编  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7" w:type="dxa"/>
                  <w:vMerge w:val="restart"/>
                  <w:vAlign w:val="center"/>
                </w:tcPr>
                <w:p>
                  <w:pPr>
                    <w:jc w:val="center"/>
                    <w:rPr>
                      <w:rFonts w:ascii="Times New Roman" w:hAnsi="Times New Roman"/>
                      <w:szCs w:val="21"/>
                    </w:rPr>
                  </w:pPr>
                  <w:r>
                    <w:rPr>
                      <w:rFonts w:ascii="Times New Roman" w:hAnsi="Times New Roman"/>
                      <w:szCs w:val="21"/>
                    </w:rPr>
                    <w:t>无组织</w:t>
                  </w:r>
                </w:p>
                <w:p>
                  <w:pPr>
                    <w:jc w:val="center"/>
                    <w:rPr>
                      <w:rFonts w:ascii="Times New Roman" w:hAnsi="Times New Roman"/>
                      <w:szCs w:val="21"/>
                    </w:rPr>
                  </w:pPr>
                  <w:r>
                    <w:rPr>
                      <w:rFonts w:ascii="Times New Roman" w:hAnsi="Times New Roman"/>
                      <w:szCs w:val="21"/>
                    </w:rPr>
                    <w:t>废气</w:t>
                  </w:r>
                </w:p>
              </w:tc>
              <w:tc>
                <w:tcPr>
                  <w:tcW w:w="1538" w:type="dxa"/>
                  <w:vMerge w:val="restart"/>
                  <w:vAlign w:val="center"/>
                </w:tcPr>
                <w:p>
                  <w:pPr>
                    <w:jc w:val="center"/>
                    <w:rPr>
                      <w:rFonts w:ascii="Times New Roman" w:hAnsi="Times New Roman"/>
                      <w:szCs w:val="21"/>
                    </w:rPr>
                  </w:pPr>
                  <w:r>
                    <w:rPr>
                      <w:rFonts w:ascii="Times New Roman" w:hAnsi="Times New Roman"/>
                      <w:szCs w:val="21"/>
                    </w:rPr>
                    <w:t>颗粒物</w:t>
                  </w:r>
                </w:p>
              </w:tc>
              <w:tc>
                <w:tcPr>
                  <w:tcW w:w="3110" w:type="dxa"/>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lang w:bidi="ar"/>
                    </w:rPr>
                    <w:t>空气/智能TSP综合采样器</w:t>
                  </w:r>
                </w:p>
              </w:tc>
              <w:tc>
                <w:tcPr>
                  <w:tcW w:w="1432" w:type="dxa"/>
                  <w:vAlign w:val="center"/>
                </w:tcPr>
                <w:p>
                  <w:pPr>
                    <w:widowControl/>
                    <w:jc w:val="center"/>
                    <w:textAlignment w:val="center"/>
                    <w:rPr>
                      <w:rFonts w:ascii="Times New Roman" w:hAnsi="Times New Roman"/>
                      <w:color w:val="000000"/>
                      <w:szCs w:val="21"/>
                    </w:rPr>
                  </w:pPr>
                  <w:r>
                    <w:rPr>
                      <w:rStyle w:val="69"/>
                      <w:lang w:bidi="ar"/>
                    </w:rPr>
                    <w:t>崂应</w:t>
                  </w:r>
                  <w:r>
                    <w:rPr>
                      <w:rFonts w:ascii="Times New Roman" w:hAnsi="Times New Roman"/>
                      <w:color w:val="000000"/>
                      <w:kern w:val="0"/>
                      <w:szCs w:val="21"/>
                      <w:lang w:bidi="ar"/>
                    </w:rPr>
                    <w:t>2050</w:t>
                  </w:r>
                  <w:r>
                    <w:rPr>
                      <w:rStyle w:val="69"/>
                      <w:lang w:bidi="ar"/>
                    </w:rPr>
                    <w:t>型</w:t>
                  </w:r>
                </w:p>
              </w:tc>
              <w:tc>
                <w:tcPr>
                  <w:tcW w:w="1934" w:type="dxa"/>
                  <w:vAlign w:val="center"/>
                </w:tcPr>
                <w:p>
                  <w:pPr>
                    <w:jc w:val="center"/>
                    <w:rPr>
                      <w:rFonts w:ascii="Times New Roman" w:hAnsi="Times New Roman"/>
                      <w:color w:val="000000"/>
                      <w:szCs w:val="21"/>
                    </w:rPr>
                  </w:pPr>
                  <w:r>
                    <w:rPr>
                      <w:rFonts w:ascii="Times New Roman" w:hAnsi="Times New Roman"/>
                      <w:color w:val="000000"/>
                      <w:szCs w:val="21"/>
                    </w:rPr>
                    <w:t>HPJC-IE-2018-032HPJC-IE-2018-033HPJC-IE-2018-034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7" w:type="dxa"/>
                  <w:vMerge w:val="continue"/>
                  <w:vAlign w:val="center"/>
                </w:tcPr>
                <w:p>
                  <w:pPr>
                    <w:jc w:val="center"/>
                    <w:rPr>
                      <w:rFonts w:ascii="Times New Roman" w:hAnsi="Times New Roman"/>
                      <w:szCs w:val="21"/>
                    </w:rPr>
                  </w:pPr>
                </w:p>
              </w:tc>
              <w:tc>
                <w:tcPr>
                  <w:tcW w:w="1538" w:type="dxa"/>
                  <w:vMerge w:val="continue"/>
                  <w:vAlign w:val="center"/>
                </w:tcPr>
                <w:p>
                  <w:pPr>
                    <w:jc w:val="center"/>
                    <w:rPr>
                      <w:rFonts w:ascii="Times New Roman" w:hAnsi="Times New Roman"/>
                      <w:szCs w:val="21"/>
                    </w:rPr>
                  </w:pPr>
                </w:p>
              </w:tc>
              <w:tc>
                <w:tcPr>
                  <w:tcW w:w="3110" w:type="dxa"/>
                  <w:vAlign w:val="center"/>
                </w:tcPr>
                <w:p>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环境空气颗粒物综合采样器</w:t>
                  </w:r>
                </w:p>
              </w:tc>
              <w:tc>
                <w:tcPr>
                  <w:tcW w:w="1432" w:type="dxa"/>
                  <w:vAlign w:val="center"/>
                </w:tcPr>
                <w:p>
                  <w:pPr>
                    <w:widowControl/>
                    <w:jc w:val="center"/>
                    <w:textAlignment w:val="center"/>
                    <w:rPr>
                      <w:rStyle w:val="69"/>
                      <w:lang w:bidi="ar"/>
                    </w:rPr>
                  </w:pPr>
                  <w:r>
                    <w:rPr>
                      <w:rFonts w:ascii="Times New Roman" w:hAnsi="Times New Roman"/>
                      <w:color w:val="000000"/>
                      <w:kern w:val="0"/>
                      <w:szCs w:val="21"/>
                      <w:lang w:bidi="ar"/>
                    </w:rPr>
                    <w:t>ZR-3922</w:t>
                  </w:r>
                </w:p>
              </w:tc>
              <w:tc>
                <w:tcPr>
                  <w:tcW w:w="1934" w:type="dxa"/>
                  <w:vAlign w:val="center"/>
                </w:tcPr>
                <w:p>
                  <w:pPr>
                    <w:jc w:val="center"/>
                    <w:rPr>
                      <w:rFonts w:ascii="Times New Roman" w:hAnsi="Times New Roman"/>
                      <w:color w:val="000000"/>
                      <w:szCs w:val="21"/>
                    </w:rPr>
                  </w:pPr>
                  <w:r>
                    <w:rPr>
                      <w:rFonts w:ascii="Times New Roman" w:hAnsi="Times New Roman"/>
                      <w:color w:val="000000"/>
                      <w:szCs w:val="21"/>
                    </w:rPr>
                    <w:t xml:space="preserve">HPJC-IE-2018-042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7" w:type="dxa"/>
                  <w:vMerge w:val="continue"/>
                  <w:vAlign w:val="center"/>
                </w:tcPr>
                <w:p>
                  <w:pPr>
                    <w:jc w:val="center"/>
                    <w:rPr>
                      <w:rFonts w:ascii="Times New Roman" w:hAnsi="Times New Roman"/>
                      <w:szCs w:val="21"/>
                    </w:rPr>
                  </w:pPr>
                </w:p>
              </w:tc>
              <w:tc>
                <w:tcPr>
                  <w:tcW w:w="1538" w:type="dxa"/>
                  <w:vMerge w:val="continue"/>
                  <w:vAlign w:val="center"/>
                </w:tcPr>
                <w:p>
                  <w:pPr>
                    <w:jc w:val="center"/>
                    <w:rPr>
                      <w:rFonts w:ascii="Times New Roman" w:hAnsi="Times New Roman"/>
                      <w:bCs/>
                      <w:szCs w:val="21"/>
                    </w:rPr>
                  </w:pPr>
                </w:p>
              </w:tc>
              <w:tc>
                <w:tcPr>
                  <w:tcW w:w="3110" w:type="dxa"/>
                  <w:vAlign w:val="center"/>
                </w:tcPr>
                <w:p>
                  <w:pPr>
                    <w:pStyle w:val="8"/>
                    <w:spacing w:before="62" w:beforeLines="20" w:after="62" w:afterLines="20"/>
                    <w:jc w:val="center"/>
                    <w:rPr>
                      <w:rFonts w:ascii="Times New Roman" w:hAnsi="Times New Roman"/>
                      <w:szCs w:val="21"/>
                    </w:rPr>
                  </w:pPr>
                  <w:r>
                    <w:rPr>
                      <w:rFonts w:ascii="Times New Roman" w:hAnsi="Times New Roman"/>
                      <w:szCs w:val="21"/>
                    </w:rPr>
                    <w:t>分析天平</w:t>
                  </w:r>
                </w:p>
              </w:tc>
              <w:tc>
                <w:tcPr>
                  <w:tcW w:w="1432" w:type="dxa"/>
                  <w:vAlign w:val="center"/>
                </w:tcPr>
                <w:p>
                  <w:pPr>
                    <w:spacing w:before="62" w:beforeLines="20" w:after="62" w:afterLines="20"/>
                    <w:ind w:firstLine="27" w:firstLineChars="13"/>
                    <w:jc w:val="center"/>
                    <w:rPr>
                      <w:rFonts w:ascii="Times New Roman" w:hAnsi="Times New Roman"/>
                      <w:szCs w:val="21"/>
                    </w:rPr>
                  </w:pPr>
                  <w:r>
                    <w:rPr>
                      <w:rFonts w:ascii="Times New Roman" w:hAnsi="Times New Roman"/>
                      <w:szCs w:val="21"/>
                    </w:rPr>
                    <w:t>AUW220D</w:t>
                  </w:r>
                </w:p>
              </w:tc>
              <w:tc>
                <w:tcPr>
                  <w:tcW w:w="1934" w:type="dxa"/>
                  <w:vAlign w:val="center"/>
                </w:tcPr>
                <w:p>
                  <w:pPr>
                    <w:spacing w:before="62" w:beforeLines="20" w:after="62" w:afterLines="20"/>
                    <w:jc w:val="center"/>
                    <w:rPr>
                      <w:rFonts w:ascii="Times New Roman" w:hAnsi="Times New Roman"/>
                      <w:bCs/>
                      <w:szCs w:val="21"/>
                    </w:rPr>
                  </w:pPr>
                  <w:r>
                    <w:rPr>
                      <w:rFonts w:ascii="Times New Roman" w:hAnsi="Times New Roman"/>
                      <w:bCs/>
                      <w:szCs w:val="21"/>
                    </w:rPr>
                    <w:t>HPJC-IE-</w:t>
                  </w:r>
                  <w:r>
                    <w:rPr>
                      <w:rFonts w:ascii="Times New Roman" w:hAnsi="Times New Roman"/>
                      <w:szCs w:val="21"/>
                    </w:rPr>
                    <w:t>2018-011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7" w:type="dxa"/>
                  <w:vMerge w:val="continue"/>
                  <w:vAlign w:val="center"/>
                </w:tcPr>
                <w:p>
                  <w:pPr>
                    <w:jc w:val="center"/>
                    <w:rPr>
                      <w:rFonts w:ascii="Times New Roman" w:hAnsi="Times New Roman"/>
                      <w:szCs w:val="21"/>
                    </w:rPr>
                  </w:pPr>
                </w:p>
              </w:tc>
              <w:tc>
                <w:tcPr>
                  <w:tcW w:w="1538" w:type="dxa"/>
                  <w:vAlign w:val="center"/>
                </w:tcPr>
                <w:p>
                  <w:pPr>
                    <w:jc w:val="center"/>
                    <w:rPr>
                      <w:rFonts w:ascii="Times New Roman" w:hAnsi="Times New Roman"/>
                      <w:szCs w:val="21"/>
                    </w:rPr>
                  </w:pPr>
                  <w:r>
                    <w:rPr>
                      <w:rFonts w:ascii="Times New Roman" w:hAnsi="Times New Roman"/>
                      <w:bCs/>
                      <w:szCs w:val="21"/>
                    </w:rPr>
                    <w:t>非甲烷总烃</w:t>
                  </w:r>
                </w:p>
              </w:tc>
              <w:tc>
                <w:tcPr>
                  <w:tcW w:w="3110" w:type="dxa"/>
                  <w:vAlign w:val="center"/>
                </w:tcPr>
                <w:p>
                  <w:pPr>
                    <w:widowControl/>
                    <w:jc w:val="center"/>
                    <w:textAlignment w:val="center"/>
                    <w:rPr>
                      <w:rFonts w:ascii="Times New Roman" w:hAnsi="Times New Roman"/>
                      <w:bCs/>
                      <w:szCs w:val="21"/>
                    </w:rPr>
                  </w:pPr>
                  <w:r>
                    <w:rPr>
                      <w:rFonts w:ascii="Times New Roman" w:hAnsi="Times New Roman"/>
                      <w:kern w:val="0"/>
                      <w:szCs w:val="21"/>
                      <w:lang w:bidi="ar"/>
                    </w:rPr>
                    <w:t>气相色谱仪</w:t>
                  </w:r>
                </w:p>
              </w:tc>
              <w:tc>
                <w:tcPr>
                  <w:tcW w:w="1432" w:type="dxa"/>
                  <w:vAlign w:val="center"/>
                </w:tcPr>
                <w:p>
                  <w:pPr>
                    <w:widowControl/>
                    <w:jc w:val="center"/>
                    <w:textAlignment w:val="center"/>
                    <w:rPr>
                      <w:rFonts w:ascii="Times New Roman" w:hAnsi="Times New Roman"/>
                      <w:szCs w:val="21"/>
                    </w:rPr>
                  </w:pPr>
                  <w:r>
                    <w:rPr>
                      <w:rFonts w:ascii="Times New Roman" w:hAnsi="Times New Roman"/>
                      <w:kern w:val="0"/>
                      <w:szCs w:val="21"/>
                      <w:lang w:bidi="ar"/>
                    </w:rPr>
                    <w:t>GC9790</w:t>
                  </w:r>
                  <w:r>
                    <w:rPr>
                      <w:rFonts w:hint="eastAsia" w:ascii="宋体" w:hAnsi="宋体" w:cs="宋体"/>
                      <w:kern w:val="0"/>
                      <w:szCs w:val="21"/>
                      <w:lang w:bidi="ar"/>
                    </w:rPr>
                    <w:t>Ⅱ</w:t>
                  </w:r>
                </w:p>
              </w:tc>
              <w:tc>
                <w:tcPr>
                  <w:tcW w:w="1934" w:type="dxa"/>
                  <w:vAlign w:val="center"/>
                </w:tcPr>
                <w:p>
                  <w:pPr>
                    <w:spacing w:before="62" w:beforeLines="20" w:after="62" w:afterLines="20"/>
                    <w:jc w:val="center"/>
                    <w:rPr>
                      <w:rFonts w:ascii="Times New Roman" w:hAnsi="Times New Roman"/>
                      <w:szCs w:val="21"/>
                    </w:rPr>
                  </w:pPr>
                  <w:r>
                    <w:rPr>
                      <w:rFonts w:ascii="Times New Roman" w:hAnsi="Times New Roman"/>
                      <w:bCs/>
                      <w:szCs w:val="21"/>
                    </w:rPr>
                    <w:t>HPJC-IE-2019-001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7" w:type="dxa"/>
                  <w:vMerge w:val="restart"/>
                  <w:vAlign w:val="center"/>
                </w:tcPr>
                <w:p>
                  <w:pPr>
                    <w:jc w:val="center"/>
                    <w:rPr>
                      <w:rFonts w:ascii="Times New Roman" w:hAnsi="Times New Roman"/>
                      <w:szCs w:val="21"/>
                    </w:rPr>
                  </w:pPr>
                  <w:r>
                    <w:rPr>
                      <w:rFonts w:ascii="Times New Roman" w:hAnsi="Times New Roman"/>
                      <w:szCs w:val="21"/>
                    </w:rPr>
                    <w:t>废水</w:t>
                  </w:r>
                </w:p>
              </w:tc>
              <w:tc>
                <w:tcPr>
                  <w:tcW w:w="1538" w:type="dxa"/>
                  <w:vAlign w:val="center"/>
                </w:tcPr>
                <w:p>
                  <w:pPr>
                    <w:jc w:val="center"/>
                    <w:rPr>
                      <w:rFonts w:ascii="Times New Roman" w:hAnsi="Times New Roman"/>
                      <w:szCs w:val="21"/>
                    </w:rPr>
                  </w:pPr>
                  <w:r>
                    <w:rPr>
                      <w:rFonts w:ascii="Times New Roman" w:hAnsi="Times New Roman"/>
                      <w:szCs w:val="21"/>
                    </w:rPr>
                    <w:t>化学需氧量</w:t>
                  </w:r>
                </w:p>
              </w:tc>
              <w:tc>
                <w:tcPr>
                  <w:tcW w:w="3110" w:type="dxa"/>
                  <w:vAlign w:val="center"/>
                </w:tcPr>
                <w:p>
                  <w:pPr>
                    <w:jc w:val="center"/>
                    <w:rPr>
                      <w:rFonts w:ascii="Times New Roman" w:hAnsi="Times New Roman"/>
                      <w:szCs w:val="21"/>
                    </w:rPr>
                  </w:pPr>
                  <w:r>
                    <w:rPr>
                      <w:rFonts w:ascii="Times New Roman" w:hAnsi="Times New Roman"/>
                      <w:szCs w:val="21"/>
                    </w:rPr>
                    <w:t>酸式滴定管</w:t>
                  </w:r>
                </w:p>
              </w:tc>
              <w:tc>
                <w:tcPr>
                  <w:tcW w:w="1432" w:type="dxa"/>
                  <w:vAlign w:val="center"/>
                </w:tcPr>
                <w:p>
                  <w:pPr>
                    <w:jc w:val="center"/>
                    <w:rPr>
                      <w:rFonts w:ascii="Times New Roman" w:hAnsi="Times New Roman"/>
                      <w:szCs w:val="21"/>
                    </w:rPr>
                  </w:pPr>
                  <w:r>
                    <w:rPr>
                      <w:rFonts w:ascii="Times New Roman" w:hAnsi="Times New Roman"/>
                      <w:szCs w:val="21"/>
                    </w:rPr>
                    <w:t>50mL</w:t>
                  </w:r>
                </w:p>
              </w:tc>
              <w:tc>
                <w:tcPr>
                  <w:tcW w:w="1934" w:type="dxa"/>
                  <w:vAlign w:val="center"/>
                </w:tcPr>
                <w:p>
                  <w:pPr>
                    <w:jc w:val="center"/>
                    <w:rPr>
                      <w:rFonts w:ascii="Times New Roman" w:hAnsi="Times New Roman"/>
                      <w:bCs/>
                      <w:szCs w:val="21"/>
                    </w:rPr>
                  </w:pPr>
                  <w:r>
                    <w:rPr>
                      <w:rFonts w:ascii="Times New Roman" w:hAnsi="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7" w:type="dxa"/>
                  <w:vMerge w:val="continue"/>
                  <w:vAlign w:val="center"/>
                </w:tcPr>
                <w:p>
                  <w:pPr>
                    <w:jc w:val="center"/>
                    <w:rPr>
                      <w:rFonts w:ascii="Times New Roman" w:hAnsi="Times New Roman"/>
                      <w:szCs w:val="21"/>
                    </w:rPr>
                  </w:pPr>
                </w:p>
              </w:tc>
              <w:tc>
                <w:tcPr>
                  <w:tcW w:w="1538" w:type="dxa"/>
                  <w:vMerge w:val="restart"/>
                  <w:vAlign w:val="center"/>
                </w:tcPr>
                <w:p>
                  <w:pPr>
                    <w:jc w:val="center"/>
                    <w:rPr>
                      <w:rFonts w:ascii="Times New Roman" w:hAnsi="Times New Roman"/>
                      <w:szCs w:val="21"/>
                    </w:rPr>
                  </w:pPr>
                  <w:r>
                    <w:rPr>
                      <w:rFonts w:ascii="Times New Roman" w:hAnsi="Times New Roman"/>
                      <w:szCs w:val="21"/>
                    </w:rPr>
                    <w:t>生化需氧量</w:t>
                  </w:r>
                </w:p>
              </w:tc>
              <w:tc>
                <w:tcPr>
                  <w:tcW w:w="3110" w:type="dxa"/>
                  <w:vAlign w:val="center"/>
                </w:tcPr>
                <w:p>
                  <w:pPr>
                    <w:jc w:val="center"/>
                    <w:rPr>
                      <w:rFonts w:ascii="Times New Roman" w:hAnsi="Times New Roman"/>
                      <w:szCs w:val="21"/>
                    </w:rPr>
                  </w:pPr>
                  <w:r>
                    <w:rPr>
                      <w:rFonts w:ascii="Times New Roman" w:hAnsi="Times New Roman"/>
                      <w:szCs w:val="21"/>
                    </w:rPr>
                    <w:t>溶解氧仪</w:t>
                  </w:r>
                </w:p>
              </w:tc>
              <w:tc>
                <w:tcPr>
                  <w:tcW w:w="1432" w:type="dxa"/>
                  <w:vAlign w:val="center"/>
                </w:tcPr>
                <w:p>
                  <w:pPr>
                    <w:jc w:val="center"/>
                    <w:rPr>
                      <w:rFonts w:ascii="Times New Roman" w:hAnsi="Times New Roman"/>
                      <w:szCs w:val="21"/>
                    </w:rPr>
                  </w:pPr>
                  <w:r>
                    <w:rPr>
                      <w:rFonts w:ascii="Times New Roman" w:hAnsi="Times New Roman"/>
                      <w:szCs w:val="21"/>
                    </w:rPr>
                    <w:t>DDSJ-307A</w:t>
                  </w:r>
                </w:p>
              </w:tc>
              <w:tc>
                <w:tcPr>
                  <w:tcW w:w="1934" w:type="dxa"/>
                  <w:vAlign w:val="center"/>
                </w:tcPr>
                <w:p>
                  <w:pPr>
                    <w:jc w:val="center"/>
                    <w:rPr>
                      <w:rFonts w:ascii="Times New Roman" w:hAnsi="Times New Roman"/>
                      <w:szCs w:val="21"/>
                    </w:rPr>
                  </w:pPr>
                  <w:r>
                    <w:rPr>
                      <w:rFonts w:ascii="Times New Roman" w:hAnsi="Times New Roman"/>
                      <w:szCs w:val="21"/>
                    </w:rPr>
                    <w:t>HPJC-IE-2018-021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7" w:type="dxa"/>
                  <w:vMerge w:val="continue"/>
                  <w:vAlign w:val="center"/>
                </w:tcPr>
                <w:p>
                  <w:pPr>
                    <w:jc w:val="center"/>
                    <w:rPr>
                      <w:rFonts w:ascii="Times New Roman" w:hAnsi="Times New Roman"/>
                      <w:szCs w:val="21"/>
                    </w:rPr>
                  </w:pPr>
                </w:p>
              </w:tc>
              <w:tc>
                <w:tcPr>
                  <w:tcW w:w="1538" w:type="dxa"/>
                  <w:vMerge w:val="continue"/>
                  <w:vAlign w:val="center"/>
                </w:tcPr>
                <w:p>
                  <w:pPr>
                    <w:jc w:val="center"/>
                    <w:rPr>
                      <w:rFonts w:ascii="Times New Roman" w:hAnsi="Times New Roman"/>
                      <w:bCs/>
                      <w:szCs w:val="21"/>
                    </w:rPr>
                  </w:pPr>
                </w:p>
              </w:tc>
              <w:tc>
                <w:tcPr>
                  <w:tcW w:w="3110" w:type="dxa"/>
                  <w:vAlign w:val="center"/>
                </w:tcPr>
                <w:p>
                  <w:pPr>
                    <w:jc w:val="center"/>
                    <w:rPr>
                      <w:rFonts w:ascii="Times New Roman" w:hAnsi="Times New Roman"/>
                      <w:szCs w:val="21"/>
                    </w:rPr>
                  </w:pPr>
                  <w:r>
                    <w:rPr>
                      <w:rFonts w:ascii="Times New Roman" w:hAnsi="Times New Roman"/>
                      <w:szCs w:val="21"/>
                    </w:rPr>
                    <w:t>生化培养箱</w:t>
                  </w:r>
                </w:p>
              </w:tc>
              <w:tc>
                <w:tcPr>
                  <w:tcW w:w="1432" w:type="dxa"/>
                  <w:vAlign w:val="center"/>
                </w:tcPr>
                <w:p>
                  <w:pPr>
                    <w:jc w:val="center"/>
                    <w:rPr>
                      <w:rFonts w:ascii="Times New Roman" w:hAnsi="Times New Roman"/>
                      <w:szCs w:val="21"/>
                    </w:rPr>
                  </w:pPr>
                  <w:r>
                    <w:rPr>
                      <w:rFonts w:ascii="Times New Roman" w:hAnsi="Times New Roman"/>
                      <w:szCs w:val="21"/>
                    </w:rPr>
                    <w:t>SPL-250</w:t>
                  </w:r>
                </w:p>
              </w:tc>
              <w:tc>
                <w:tcPr>
                  <w:tcW w:w="1934" w:type="dxa"/>
                  <w:vAlign w:val="center"/>
                </w:tcPr>
                <w:p>
                  <w:pPr>
                    <w:jc w:val="center"/>
                    <w:rPr>
                      <w:rFonts w:ascii="Times New Roman" w:hAnsi="Times New Roman"/>
                      <w:bCs/>
                      <w:szCs w:val="21"/>
                    </w:rPr>
                  </w:pPr>
                  <w:r>
                    <w:rPr>
                      <w:rFonts w:ascii="Times New Roman" w:hAnsi="Times New Roman"/>
                      <w:szCs w:val="21"/>
                    </w:rPr>
                    <w:t>HPJC-IE-2018-013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7" w:type="dxa"/>
                  <w:vMerge w:val="continue"/>
                  <w:vAlign w:val="center"/>
                </w:tcPr>
                <w:p>
                  <w:pPr>
                    <w:jc w:val="center"/>
                    <w:rPr>
                      <w:rFonts w:ascii="Times New Roman" w:hAnsi="Times New Roman"/>
                      <w:szCs w:val="21"/>
                    </w:rPr>
                  </w:pPr>
                </w:p>
              </w:tc>
              <w:tc>
                <w:tcPr>
                  <w:tcW w:w="1538" w:type="dxa"/>
                  <w:vAlign w:val="center"/>
                </w:tcPr>
                <w:p>
                  <w:pPr>
                    <w:jc w:val="center"/>
                    <w:rPr>
                      <w:rFonts w:ascii="Times New Roman" w:hAnsi="Times New Roman"/>
                      <w:szCs w:val="21"/>
                    </w:rPr>
                  </w:pPr>
                  <w:r>
                    <w:rPr>
                      <w:rFonts w:ascii="Times New Roman" w:hAnsi="Times New Roman"/>
                      <w:szCs w:val="21"/>
                    </w:rPr>
                    <w:t>悬浮物</w:t>
                  </w:r>
                </w:p>
              </w:tc>
              <w:tc>
                <w:tcPr>
                  <w:tcW w:w="3110" w:type="dxa"/>
                  <w:vAlign w:val="center"/>
                </w:tcPr>
                <w:p>
                  <w:pPr>
                    <w:jc w:val="center"/>
                    <w:rPr>
                      <w:rFonts w:ascii="Times New Roman" w:hAnsi="Times New Roman"/>
                      <w:szCs w:val="21"/>
                    </w:rPr>
                  </w:pPr>
                  <w:r>
                    <w:rPr>
                      <w:rFonts w:ascii="Times New Roman" w:hAnsi="Times New Roman"/>
                      <w:szCs w:val="21"/>
                    </w:rPr>
                    <w:t>分析天平</w:t>
                  </w:r>
                </w:p>
              </w:tc>
              <w:tc>
                <w:tcPr>
                  <w:tcW w:w="1432" w:type="dxa"/>
                  <w:vAlign w:val="center"/>
                </w:tcPr>
                <w:p>
                  <w:pPr>
                    <w:jc w:val="center"/>
                    <w:rPr>
                      <w:rFonts w:ascii="Times New Roman" w:hAnsi="Times New Roman"/>
                      <w:szCs w:val="21"/>
                    </w:rPr>
                  </w:pPr>
                  <w:r>
                    <w:rPr>
                      <w:rFonts w:ascii="Times New Roman" w:hAnsi="Times New Roman"/>
                      <w:szCs w:val="21"/>
                    </w:rPr>
                    <w:t>AUW220D</w:t>
                  </w:r>
                </w:p>
              </w:tc>
              <w:tc>
                <w:tcPr>
                  <w:tcW w:w="1934" w:type="dxa"/>
                  <w:vAlign w:val="center"/>
                </w:tcPr>
                <w:p>
                  <w:pPr>
                    <w:jc w:val="center"/>
                    <w:rPr>
                      <w:rFonts w:ascii="Times New Roman" w:hAnsi="Times New Roman"/>
                      <w:szCs w:val="21"/>
                    </w:rPr>
                  </w:pPr>
                  <w:r>
                    <w:rPr>
                      <w:rFonts w:ascii="Times New Roman" w:hAnsi="Times New Roman"/>
                      <w:szCs w:val="21"/>
                    </w:rPr>
                    <w:t>HPJC-IE-2018-011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7" w:type="dxa"/>
                  <w:vMerge w:val="continue"/>
                  <w:vAlign w:val="center"/>
                </w:tcPr>
                <w:p>
                  <w:pPr>
                    <w:jc w:val="center"/>
                    <w:rPr>
                      <w:rFonts w:ascii="Times New Roman" w:hAnsi="Times New Roman"/>
                      <w:szCs w:val="21"/>
                    </w:rPr>
                  </w:pPr>
                </w:p>
              </w:tc>
              <w:tc>
                <w:tcPr>
                  <w:tcW w:w="1538" w:type="dxa"/>
                  <w:vAlign w:val="center"/>
                </w:tcPr>
                <w:p>
                  <w:pPr>
                    <w:jc w:val="center"/>
                    <w:rPr>
                      <w:rFonts w:ascii="Times New Roman" w:hAnsi="Times New Roman"/>
                      <w:szCs w:val="21"/>
                    </w:rPr>
                  </w:pPr>
                  <w:r>
                    <w:rPr>
                      <w:rFonts w:ascii="Times New Roman" w:hAnsi="Times New Roman"/>
                      <w:szCs w:val="21"/>
                    </w:rPr>
                    <w:t>氨氮</w:t>
                  </w:r>
                </w:p>
              </w:tc>
              <w:tc>
                <w:tcPr>
                  <w:tcW w:w="3110" w:type="dxa"/>
                  <w:vAlign w:val="center"/>
                </w:tcPr>
                <w:p>
                  <w:pPr>
                    <w:jc w:val="center"/>
                    <w:rPr>
                      <w:rFonts w:ascii="Times New Roman" w:hAnsi="Times New Roman"/>
                      <w:szCs w:val="21"/>
                    </w:rPr>
                  </w:pPr>
                  <w:r>
                    <w:rPr>
                      <w:rFonts w:ascii="Times New Roman" w:hAnsi="Times New Roman"/>
                      <w:szCs w:val="21"/>
                    </w:rPr>
                    <w:t>紫外可见分光光度计</w:t>
                  </w:r>
                </w:p>
              </w:tc>
              <w:tc>
                <w:tcPr>
                  <w:tcW w:w="1432" w:type="dxa"/>
                  <w:vAlign w:val="center"/>
                </w:tcPr>
                <w:p>
                  <w:pPr>
                    <w:jc w:val="center"/>
                    <w:rPr>
                      <w:rFonts w:ascii="Times New Roman" w:hAnsi="Times New Roman"/>
                      <w:szCs w:val="21"/>
                    </w:rPr>
                  </w:pPr>
                  <w:r>
                    <w:rPr>
                      <w:rFonts w:ascii="Times New Roman" w:hAnsi="Times New Roman"/>
                      <w:szCs w:val="21"/>
                    </w:rPr>
                    <w:t>L5</w:t>
                  </w:r>
                </w:p>
              </w:tc>
              <w:tc>
                <w:tcPr>
                  <w:tcW w:w="1934" w:type="dxa"/>
                  <w:vAlign w:val="center"/>
                </w:tcPr>
                <w:p>
                  <w:pPr>
                    <w:jc w:val="center"/>
                    <w:rPr>
                      <w:rFonts w:ascii="Times New Roman" w:hAnsi="Times New Roman"/>
                      <w:bCs/>
                      <w:szCs w:val="21"/>
                    </w:rPr>
                  </w:pPr>
                  <w:r>
                    <w:rPr>
                      <w:rFonts w:ascii="Times New Roman" w:hAnsi="Times New Roman"/>
                      <w:szCs w:val="21"/>
                    </w:rPr>
                    <w:t>HPJC-IE-2018-009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7" w:type="dxa"/>
                  <w:vAlign w:val="center"/>
                </w:tcPr>
                <w:p>
                  <w:pPr>
                    <w:jc w:val="center"/>
                    <w:rPr>
                      <w:rFonts w:ascii="Times New Roman" w:hAnsi="Times New Roman"/>
                      <w:szCs w:val="21"/>
                    </w:rPr>
                  </w:pPr>
                  <w:r>
                    <w:rPr>
                      <w:rFonts w:ascii="Times New Roman" w:hAnsi="Times New Roman"/>
                      <w:szCs w:val="21"/>
                    </w:rPr>
                    <w:t>厂界</w:t>
                  </w:r>
                </w:p>
                <w:p>
                  <w:pPr>
                    <w:jc w:val="center"/>
                    <w:rPr>
                      <w:rFonts w:ascii="Times New Roman" w:hAnsi="Times New Roman"/>
                      <w:szCs w:val="21"/>
                    </w:rPr>
                  </w:pPr>
                  <w:r>
                    <w:rPr>
                      <w:rFonts w:ascii="Times New Roman" w:hAnsi="Times New Roman"/>
                      <w:szCs w:val="21"/>
                    </w:rPr>
                    <w:t>噪声</w:t>
                  </w:r>
                </w:p>
              </w:tc>
              <w:tc>
                <w:tcPr>
                  <w:tcW w:w="1538" w:type="dxa"/>
                  <w:vAlign w:val="center"/>
                </w:tcPr>
                <w:p>
                  <w:pPr>
                    <w:jc w:val="center"/>
                    <w:rPr>
                      <w:rFonts w:ascii="Times New Roman" w:hAnsi="Times New Roman"/>
                      <w:szCs w:val="21"/>
                    </w:rPr>
                  </w:pPr>
                  <w:r>
                    <w:rPr>
                      <w:rFonts w:ascii="Times New Roman" w:hAnsi="Times New Roman"/>
                      <w:szCs w:val="21"/>
                    </w:rPr>
                    <w:t>噪声</w:t>
                  </w:r>
                </w:p>
              </w:tc>
              <w:tc>
                <w:tcPr>
                  <w:tcW w:w="3110"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多功能声级计</w:t>
                  </w:r>
                </w:p>
              </w:tc>
              <w:tc>
                <w:tcPr>
                  <w:tcW w:w="1432"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AWA5688</w:t>
                  </w:r>
                </w:p>
              </w:tc>
              <w:tc>
                <w:tcPr>
                  <w:tcW w:w="1934" w:type="dxa"/>
                  <w:vAlign w:val="center"/>
                </w:tcPr>
                <w:p>
                  <w:pPr>
                    <w:widowControl/>
                    <w:jc w:val="center"/>
                    <w:textAlignment w:val="center"/>
                    <w:rPr>
                      <w:rFonts w:ascii="Times New Roman" w:hAnsi="Times New Roman"/>
                      <w:szCs w:val="21"/>
                    </w:rPr>
                  </w:pPr>
                  <w:r>
                    <w:rPr>
                      <w:rFonts w:ascii="Times New Roman" w:hAnsi="Times New Roman"/>
                    </w:rPr>
                    <w:t>HPJC-IE-2018-054</w:t>
                  </w:r>
                </w:p>
              </w:tc>
            </w:tr>
          </w:tbl>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质量控制保证：</w:t>
            </w:r>
          </w:p>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1、合理布设监测点位，保证各监测点位布设的科学性和可比性；</w:t>
            </w:r>
          </w:p>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2、监测分析方法采用国家有关部门颁布的标准（或推荐）方法，监测人员经过考核并持有合格证书；</w:t>
            </w:r>
          </w:p>
          <w:p>
            <w:pPr>
              <w:spacing w:line="360" w:lineRule="auto"/>
              <w:ind w:firstLine="480" w:firstLineChars="200"/>
              <w:jc w:val="left"/>
              <w:rPr>
                <w:rFonts w:ascii="Times New Roman" w:hAnsi="Times New Roman" w:eastAsiaTheme="minorEastAsia"/>
              </w:rPr>
            </w:pPr>
            <w:r>
              <w:rPr>
                <w:rFonts w:ascii="Times New Roman" w:hAnsi="Times New Roman" w:eastAsiaTheme="minorEastAsia"/>
                <w:sz w:val="24"/>
              </w:rPr>
              <w:t>3、保证验收监测分析结果的准确性和可靠性。</w:t>
            </w:r>
            <w:r>
              <w:rPr>
                <w:rFonts w:ascii="Times New Roman" w:hAnsi="Times New Roman" w:eastAsiaTheme="minorEastAsia"/>
                <w:bCs/>
                <w:sz w:val="24"/>
              </w:rPr>
              <w:br w:type="textWrapping"/>
            </w:r>
          </w:p>
          <w:p>
            <w:pPr>
              <w:pStyle w:val="2"/>
              <w:jc w:val="both"/>
              <w:rPr>
                <w:rFonts w:ascii="Times New Roman" w:hAnsi="Times New Roman" w:eastAsiaTheme="minorEastAsia"/>
                <w:color w:val="FF0000"/>
              </w:rPr>
            </w:pPr>
          </w:p>
          <w:p>
            <w:pPr>
              <w:rPr>
                <w:rFonts w:ascii="Times New Roman" w:hAnsi="Times New Roman" w:eastAsiaTheme="minorEastAsia"/>
                <w:color w:val="FF0000"/>
              </w:rPr>
            </w:pPr>
          </w:p>
          <w:p>
            <w:pPr>
              <w:pStyle w:val="2"/>
              <w:jc w:val="both"/>
              <w:rPr>
                <w:rFonts w:ascii="Times New Roman" w:hAnsi="Times New Roman" w:eastAsiaTheme="minorEastAsia"/>
                <w:color w:val="FF0000"/>
              </w:rPr>
            </w:pPr>
          </w:p>
          <w:p>
            <w:pPr>
              <w:rPr>
                <w:rFonts w:ascii="Times New Roman" w:hAnsi="Times New Roman" w:eastAsiaTheme="minorEastAsia"/>
                <w:color w:val="FF0000"/>
              </w:rPr>
            </w:pPr>
          </w:p>
          <w:p>
            <w:pPr>
              <w:pStyle w:val="2"/>
              <w:jc w:val="both"/>
              <w:rPr>
                <w:rFonts w:ascii="Times New Roman" w:hAnsi="Times New Roman" w:eastAsiaTheme="minorEastAsia"/>
                <w:color w:val="FF0000"/>
              </w:rPr>
            </w:pPr>
          </w:p>
          <w:p>
            <w:pPr>
              <w:rPr>
                <w:rFonts w:ascii="Times New Roman" w:hAnsi="Times New Roman" w:eastAsiaTheme="minorEastAsia"/>
                <w:color w:val="FF0000"/>
              </w:rPr>
            </w:pPr>
          </w:p>
          <w:p>
            <w:pPr>
              <w:rPr>
                <w:rFonts w:ascii="Times New Roman" w:hAnsi="Times New Roman" w:eastAsiaTheme="minorEastAsia"/>
                <w:color w:val="FF0000"/>
              </w:rPr>
            </w:pPr>
          </w:p>
          <w:p>
            <w:pPr>
              <w:pStyle w:val="2"/>
              <w:jc w:val="both"/>
              <w:rPr>
                <w:rFonts w:ascii="Times New Roman" w:hAnsi="Times New Roman"/>
                <w:color w:val="FF0000"/>
              </w:rPr>
            </w:pPr>
          </w:p>
        </w:tc>
      </w:tr>
    </w:tbl>
    <w:p>
      <w:pPr>
        <w:spacing w:line="360" w:lineRule="auto"/>
        <w:outlineLvl w:val="0"/>
        <w:rPr>
          <w:rFonts w:ascii="Times New Roman" w:hAnsi="Times New Roman" w:eastAsiaTheme="minorEastAsia"/>
          <w:b/>
          <w:color w:val="FF0000"/>
          <w:sz w:val="28"/>
          <w:szCs w:val="28"/>
        </w:rPr>
        <w:sectPr>
          <w:pgSz w:w="11906" w:h="16838"/>
          <w:pgMar w:top="1440" w:right="1800" w:bottom="1440" w:left="1800" w:header="851" w:footer="992" w:gutter="0"/>
          <w:cols w:space="720" w:num="1"/>
          <w:docGrid w:type="lines" w:linePitch="312" w:charSpace="0"/>
        </w:sectPr>
      </w:pPr>
      <w:bookmarkStart w:id="46" w:name="_Toc29931"/>
      <w:bookmarkStart w:id="47" w:name="_Toc24879"/>
    </w:p>
    <w:p>
      <w:pPr>
        <w:spacing w:line="360" w:lineRule="auto"/>
        <w:outlineLvl w:val="0"/>
        <w:rPr>
          <w:rFonts w:ascii="Times New Roman" w:hAnsi="Times New Roman" w:eastAsiaTheme="minorEastAsia"/>
          <w:b/>
          <w:sz w:val="28"/>
          <w:szCs w:val="28"/>
        </w:rPr>
      </w:pPr>
      <w:r>
        <w:rPr>
          <w:rFonts w:ascii="Times New Roman" w:hAnsi="Times New Roman" w:eastAsiaTheme="minorEastAsia"/>
          <w:b/>
          <w:sz w:val="28"/>
          <w:szCs w:val="28"/>
        </w:rPr>
        <w:t>表六</w:t>
      </w:r>
      <w:bookmarkEnd w:id="46"/>
      <w:r>
        <w:rPr>
          <w:rFonts w:ascii="Times New Roman" w:hAnsi="Times New Roman" w:eastAsiaTheme="minorEastAsia"/>
          <w:b/>
          <w:sz w:val="28"/>
          <w:szCs w:val="28"/>
        </w:rPr>
        <w:t>验收监测内容</w:t>
      </w:r>
      <w:bookmarkEnd w:id="47"/>
    </w:p>
    <w:tbl>
      <w:tblPr>
        <w:tblStyle w:val="22"/>
        <w:tblW w:w="9000" w:type="dxa"/>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2" w:hRule="atLeast"/>
        </w:trPr>
        <w:tc>
          <w:tcPr>
            <w:tcW w:w="9000" w:type="dxa"/>
          </w:tcPr>
          <w:p>
            <w:pPr>
              <w:spacing w:line="360" w:lineRule="auto"/>
              <w:ind w:firstLine="570"/>
              <w:contextualSpacing/>
              <w:rPr>
                <w:rFonts w:ascii="Times New Roman" w:hAnsi="Times New Roman" w:eastAsiaTheme="minorEastAsia"/>
                <w:sz w:val="24"/>
              </w:rPr>
            </w:pPr>
            <w:r>
              <w:rPr>
                <w:rFonts w:ascii="Times New Roman" w:hAnsi="Times New Roman" w:eastAsiaTheme="minorEastAsia"/>
                <w:bCs/>
                <w:sz w:val="24"/>
              </w:rPr>
              <w:t>建设单位委托黑龙江省华谱监测科技有限公司照环评相关要求对项目进行了有组织废气、无组织废气、</w:t>
            </w:r>
            <w:r>
              <w:rPr>
                <w:rFonts w:ascii="Times New Roman" w:hAnsi="Times New Roman" w:eastAsiaTheme="minorEastAsia"/>
                <w:sz w:val="24"/>
              </w:rPr>
              <w:t>噪声及废水监测工作，监测时间为2022年12月18日至2022年12月19日。</w:t>
            </w:r>
          </w:p>
          <w:p>
            <w:pPr>
              <w:widowControl/>
              <w:spacing w:line="360" w:lineRule="auto"/>
              <w:ind w:left="479" w:leftChars="228"/>
              <w:rPr>
                <w:rFonts w:ascii="Times New Roman" w:hAnsi="Times New Roman" w:eastAsiaTheme="minorEastAsia"/>
                <w:b/>
                <w:sz w:val="24"/>
              </w:rPr>
            </w:pPr>
            <w:r>
              <w:rPr>
                <w:rFonts w:ascii="Times New Roman" w:hAnsi="Times New Roman" w:eastAsiaTheme="minorEastAsia"/>
                <w:b/>
                <w:sz w:val="24"/>
              </w:rPr>
              <w:t>验收监测内容</w:t>
            </w:r>
          </w:p>
          <w:p>
            <w:pPr>
              <w:widowControl/>
              <w:spacing w:line="360" w:lineRule="auto"/>
              <w:ind w:left="689" w:leftChars="214" w:hanging="240" w:hangingChars="100"/>
              <w:rPr>
                <w:rFonts w:ascii="Times New Roman" w:hAnsi="Times New Roman" w:eastAsiaTheme="minorEastAsia"/>
              </w:rPr>
            </w:pPr>
            <w:r>
              <w:rPr>
                <w:rFonts w:ascii="Times New Roman" w:hAnsi="Times New Roman" w:eastAsiaTheme="minorEastAsia"/>
                <w:bCs/>
                <w:sz w:val="24"/>
              </w:rPr>
              <w:t>1.废气验收监测内容：</w:t>
            </w:r>
            <w:r>
              <w:rPr>
                <w:rFonts w:ascii="Times New Roman" w:hAnsi="Times New Roman" w:eastAsiaTheme="minorEastAsia"/>
              </w:rPr>
              <w:t>无组织废气</w:t>
            </w:r>
          </w:p>
          <w:p>
            <w:pPr>
              <w:pStyle w:val="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color w:val="auto"/>
              </w:rPr>
              <w:t>厂界上风向布设1个监测点，下风向布设3个监测点，监测项目为非甲烷总烃、颗粒物。</w:t>
            </w:r>
          </w:p>
          <w:p>
            <w:pPr>
              <w:pStyle w:val="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color w:val="auto"/>
              </w:rPr>
              <w:t>监测内容见下表。</w:t>
            </w:r>
          </w:p>
          <w:p>
            <w:pPr>
              <w:widowControl/>
              <w:spacing w:line="360" w:lineRule="auto"/>
              <w:jc w:val="center"/>
              <w:rPr>
                <w:rFonts w:ascii="Times New Roman" w:hAnsi="Times New Roman" w:eastAsiaTheme="minorEastAsia"/>
                <w:b/>
                <w:bCs/>
                <w:kern w:val="0"/>
                <w:sz w:val="24"/>
              </w:rPr>
            </w:pPr>
            <w:r>
              <w:rPr>
                <w:rFonts w:ascii="Times New Roman" w:hAnsi="Times New Roman" w:eastAsiaTheme="minorEastAsia"/>
                <w:b/>
                <w:bCs/>
                <w:kern w:val="0"/>
                <w:sz w:val="24"/>
              </w:rPr>
              <w:t>表6-1无组织废气验收监测内容</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81"/>
              <w:gridCol w:w="2816"/>
              <w:gridCol w:w="1546"/>
              <w:gridCol w:w="1950"/>
              <w:gridCol w:w="10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1" w:hRule="atLeast"/>
                <w:jc w:val="center"/>
              </w:trPr>
              <w:tc>
                <w:tcPr>
                  <w:tcW w:w="786" w:type="pct"/>
                  <w:tcBorders>
                    <w:tl2br w:val="nil"/>
                    <w:tr2bl w:val="nil"/>
                  </w:tcBorders>
                  <w:vAlign w:val="center"/>
                </w:tcPr>
                <w:p>
                  <w:pPr>
                    <w:spacing w:before="62" w:beforeLines="20" w:after="62" w:afterLines="20"/>
                    <w:jc w:val="center"/>
                    <w:rPr>
                      <w:rFonts w:ascii="Times New Roman" w:hAnsi="Times New Roman" w:eastAsiaTheme="minorEastAsia"/>
                      <w:bCs/>
                      <w:szCs w:val="21"/>
                    </w:rPr>
                  </w:pPr>
                  <w:r>
                    <w:rPr>
                      <w:rFonts w:ascii="Times New Roman" w:hAnsi="Times New Roman" w:eastAsiaTheme="minorEastAsia"/>
                      <w:bCs/>
                      <w:szCs w:val="21"/>
                    </w:rPr>
                    <w:t>类别</w:t>
                  </w:r>
                </w:p>
              </w:tc>
              <w:tc>
                <w:tcPr>
                  <w:tcW w:w="1603" w:type="pct"/>
                  <w:tcBorders>
                    <w:tl2br w:val="nil"/>
                    <w:tr2bl w:val="nil"/>
                  </w:tcBorders>
                  <w:vAlign w:val="center"/>
                </w:tcPr>
                <w:p>
                  <w:pPr>
                    <w:spacing w:before="62" w:beforeLines="20" w:after="62" w:afterLines="20"/>
                    <w:jc w:val="center"/>
                    <w:rPr>
                      <w:rFonts w:ascii="Times New Roman" w:hAnsi="Times New Roman" w:eastAsiaTheme="minorEastAsia"/>
                      <w:bCs/>
                      <w:szCs w:val="21"/>
                    </w:rPr>
                  </w:pPr>
                  <w:r>
                    <w:rPr>
                      <w:rFonts w:ascii="Times New Roman" w:hAnsi="Times New Roman" w:eastAsiaTheme="minorEastAsia"/>
                      <w:bCs/>
                      <w:szCs w:val="21"/>
                    </w:rPr>
                    <w:t>监测点位</w:t>
                  </w:r>
                </w:p>
              </w:tc>
              <w:tc>
                <w:tcPr>
                  <w:tcW w:w="880" w:type="pct"/>
                  <w:tcBorders>
                    <w:tl2br w:val="nil"/>
                    <w:tr2bl w:val="nil"/>
                  </w:tcBorders>
                  <w:vAlign w:val="center"/>
                </w:tcPr>
                <w:p>
                  <w:pPr>
                    <w:spacing w:before="62" w:beforeLines="20" w:after="62" w:afterLines="20"/>
                    <w:jc w:val="center"/>
                    <w:rPr>
                      <w:rFonts w:ascii="Times New Roman" w:hAnsi="Times New Roman" w:eastAsiaTheme="minorEastAsia"/>
                      <w:bCs/>
                      <w:szCs w:val="21"/>
                    </w:rPr>
                  </w:pPr>
                  <w:r>
                    <w:rPr>
                      <w:rFonts w:ascii="Times New Roman" w:hAnsi="Times New Roman" w:eastAsiaTheme="minorEastAsia"/>
                      <w:bCs/>
                      <w:szCs w:val="21"/>
                    </w:rPr>
                    <w:t>监测项目</w:t>
                  </w:r>
                </w:p>
              </w:tc>
              <w:tc>
                <w:tcPr>
                  <w:tcW w:w="1110" w:type="pct"/>
                  <w:tcBorders>
                    <w:tl2br w:val="nil"/>
                    <w:tr2bl w:val="nil"/>
                  </w:tcBorders>
                  <w:vAlign w:val="center"/>
                </w:tcPr>
                <w:p>
                  <w:pPr>
                    <w:spacing w:before="62" w:beforeLines="20" w:after="62" w:afterLines="20"/>
                    <w:jc w:val="center"/>
                    <w:rPr>
                      <w:rFonts w:ascii="Times New Roman" w:hAnsi="Times New Roman" w:eastAsiaTheme="minorEastAsia"/>
                      <w:bCs/>
                      <w:szCs w:val="21"/>
                    </w:rPr>
                  </w:pPr>
                  <w:r>
                    <w:rPr>
                      <w:rFonts w:ascii="Times New Roman" w:hAnsi="Times New Roman" w:eastAsiaTheme="minorEastAsia"/>
                      <w:bCs/>
                      <w:szCs w:val="21"/>
                    </w:rPr>
                    <w:t>监测频次</w:t>
                  </w:r>
                </w:p>
              </w:tc>
              <w:tc>
                <w:tcPr>
                  <w:tcW w:w="621" w:type="pct"/>
                  <w:tcBorders>
                    <w:tl2br w:val="nil"/>
                    <w:tr2bl w:val="nil"/>
                  </w:tcBorders>
                  <w:vAlign w:val="center"/>
                </w:tcPr>
                <w:p>
                  <w:pPr>
                    <w:spacing w:before="62" w:beforeLines="20" w:after="62" w:afterLines="20"/>
                    <w:jc w:val="center"/>
                    <w:rPr>
                      <w:rFonts w:ascii="Times New Roman" w:hAnsi="Times New Roman" w:eastAsiaTheme="minorEastAsia"/>
                      <w:bCs/>
                      <w:szCs w:val="21"/>
                    </w:rPr>
                  </w:pPr>
                  <w:r>
                    <w:rPr>
                      <w:rFonts w:ascii="Times New Roman" w:hAnsi="Times New Roman" w:eastAsiaTheme="minorEastAsia"/>
                      <w:bCs/>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786" w:type="pct"/>
                  <w:tcBorders>
                    <w:tl2br w:val="nil"/>
                    <w:tr2bl w:val="nil"/>
                  </w:tcBorders>
                  <w:vAlign w:val="center"/>
                </w:tcPr>
                <w:p>
                  <w:pPr>
                    <w:spacing w:before="62" w:beforeLines="20" w:after="62" w:afterLines="20"/>
                    <w:jc w:val="center"/>
                    <w:rPr>
                      <w:rFonts w:ascii="Times New Roman" w:hAnsi="Times New Roman" w:eastAsiaTheme="minorEastAsia"/>
                      <w:szCs w:val="21"/>
                    </w:rPr>
                  </w:pPr>
                  <w:r>
                    <w:rPr>
                      <w:rFonts w:ascii="Times New Roman" w:hAnsi="Times New Roman" w:eastAsiaTheme="minorEastAsia"/>
                      <w:szCs w:val="21"/>
                    </w:rPr>
                    <w:t>无组织废气</w:t>
                  </w:r>
                </w:p>
              </w:tc>
              <w:tc>
                <w:tcPr>
                  <w:tcW w:w="1603" w:type="pct"/>
                  <w:tcBorders>
                    <w:tl2br w:val="nil"/>
                    <w:tr2bl w:val="nil"/>
                  </w:tcBorders>
                  <w:vAlign w:val="center"/>
                </w:tcPr>
                <w:p>
                  <w:pPr>
                    <w:spacing w:before="62" w:beforeLines="20" w:after="62" w:afterLines="20"/>
                    <w:jc w:val="center"/>
                    <w:rPr>
                      <w:rFonts w:ascii="Times New Roman" w:hAnsi="Times New Roman" w:eastAsiaTheme="minorEastAsia"/>
                      <w:szCs w:val="21"/>
                    </w:rPr>
                  </w:pPr>
                  <w:r>
                    <w:rPr>
                      <w:rFonts w:ascii="Times New Roman" w:hAnsi="Times New Roman" w:eastAsiaTheme="minorEastAsia"/>
                      <w:szCs w:val="21"/>
                    </w:rPr>
                    <w:t>厂界上风向布设1个监测点，下风向布设3个监测点</w:t>
                  </w:r>
                </w:p>
              </w:tc>
              <w:tc>
                <w:tcPr>
                  <w:tcW w:w="880" w:type="pct"/>
                  <w:tcBorders>
                    <w:tl2br w:val="nil"/>
                    <w:tr2bl w:val="nil"/>
                  </w:tcBorders>
                  <w:vAlign w:val="center"/>
                </w:tcPr>
                <w:p>
                  <w:pPr>
                    <w:spacing w:before="62" w:beforeLines="20" w:after="62" w:afterLines="20"/>
                    <w:jc w:val="center"/>
                    <w:rPr>
                      <w:rFonts w:ascii="Times New Roman" w:hAnsi="Times New Roman" w:eastAsiaTheme="minorEastAsia"/>
                      <w:szCs w:val="21"/>
                    </w:rPr>
                  </w:pPr>
                  <w:r>
                    <w:rPr>
                      <w:rFonts w:ascii="Times New Roman" w:hAnsi="Times New Roman" w:eastAsiaTheme="minorEastAsia"/>
                    </w:rPr>
                    <w:t>非甲烷总烃、颗粒物</w:t>
                  </w:r>
                </w:p>
              </w:tc>
              <w:tc>
                <w:tcPr>
                  <w:tcW w:w="1110" w:type="pct"/>
                  <w:tcBorders>
                    <w:tl2br w:val="nil"/>
                    <w:tr2bl w:val="nil"/>
                  </w:tcBorders>
                  <w:vAlign w:val="center"/>
                </w:tcPr>
                <w:p>
                  <w:pPr>
                    <w:spacing w:before="62" w:beforeLines="20" w:after="62" w:afterLines="20"/>
                    <w:jc w:val="center"/>
                    <w:rPr>
                      <w:rFonts w:ascii="Times New Roman" w:hAnsi="Times New Roman" w:eastAsiaTheme="minorEastAsia"/>
                      <w:szCs w:val="21"/>
                    </w:rPr>
                  </w:pPr>
                  <w:r>
                    <w:rPr>
                      <w:rFonts w:ascii="Times New Roman" w:hAnsi="Times New Roman" w:eastAsiaTheme="minorEastAsia"/>
                      <w:szCs w:val="21"/>
                    </w:rPr>
                    <w:t>连续监测2天</w:t>
                  </w:r>
                </w:p>
                <w:p>
                  <w:pPr>
                    <w:spacing w:before="62" w:beforeLines="20" w:after="62" w:afterLines="20"/>
                    <w:jc w:val="center"/>
                    <w:rPr>
                      <w:rFonts w:ascii="Times New Roman" w:hAnsi="Times New Roman" w:eastAsiaTheme="minorEastAsia"/>
                      <w:szCs w:val="21"/>
                    </w:rPr>
                  </w:pPr>
                  <w:r>
                    <w:rPr>
                      <w:rFonts w:ascii="Times New Roman" w:hAnsi="Times New Roman" w:eastAsiaTheme="minorEastAsia"/>
                      <w:szCs w:val="21"/>
                    </w:rPr>
                    <w:t>每天监测4次</w:t>
                  </w:r>
                </w:p>
              </w:tc>
              <w:tc>
                <w:tcPr>
                  <w:tcW w:w="621" w:type="pct"/>
                  <w:tcBorders>
                    <w:tl2br w:val="nil"/>
                    <w:tr2bl w:val="nil"/>
                  </w:tcBorders>
                  <w:vAlign w:val="center"/>
                </w:tcPr>
                <w:p>
                  <w:pPr>
                    <w:spacing w:before="62" w:beforeLines="20" w:after="62" w:afterLines="20"/>
                    <w:jc w:val="center"/>
                    <w:rPr>
                      <w:rFonts w:ascii="Times New Roman" w:hAnsi="Times New Roman" w:eastAsiaTheme="minorEastAsia"/>
                      <w:szCs w:val="21"/>
                    </w:rPr>
                  </w:pPr>
                  <w:r>
                    <w:rPr>
                      <w:rFonts w:ascii="Times New Roman" w:hAnsi="Times New Roman" w:eastAsiaTheme="minorEastAsia"/>
                      <w:szCs w:val="21"/>
                    </w:rPr>
                    <w:t>同步记录气象条件</w:t>
                  </w:r>
                </w:p>
              </w:tc>
            </w:tr>
          </w:tbl>
          <w:p>
            <w:pPr>
              <w:widowControl/>
              <w:spacing w:line="360" w:lineRule="auto"/>
              <w:ind w:left="239" w:leftChars="114" w:firstLine="240" w:firstLineChars="100"/>
              <w:rPr>
                <w:rFonts w:ascii="Times New Roman" w:hAnsi="Times New Roman" w:eastAsiaTheme="minorEastAsia"/>
                <w:bCs/>
                <w:sz w:val="24"/>
              </w:rPr>
            </w:pPr>
            <w:bookmarkStart w:id="48" w:name="_Toc145923959"/>
            <w:bookmarkStart w:id="49" w:name="_Toc336502638"/>
            <w:bookmarkStart w:id="50" w:name="_Toc114640580"/>
            <w:bookmarkStart w:id="51" w:name="_Toc143657500"/>
            <w:bookmarkStart w:id="52" w:name="_Toc145901441"/>
            <w:bookmarkStart w:id="53" w:name="_Toc116952706"/>
            <w:bookmarkStart w:id="54" w:name="_Toc113675808"/>
            <w:bookmarkStart w:id="55" w:name="_Toc117141405"/>
            <w:bookmarkStart w:id="56" w:name="_Toc295467210"/>
            <w:bookmarkStart w:id="57" w:name="_Toc113674651"/>
            <w:r>
              <w:rPr>
                <w:rFonts w:ascii="Times New Roman" w:hAnsi="Times New Roman" w:eastAsiaTheme="minorEastAsia"/>
                <w:bCs/>
                <w:sz w:val="24"/>
              </w:rPr>
              <w:t>2.噪声验收监测内容</w:t>
            </w:r>
            <w:bookmarkEnd w:id="48"/>
            <w:bookmarkEnd w:id="49"/>
            <w:bookmarkEnd w:id="50"/>
            <w:bookmarkEnd w:id="51"/>
            <w:bookmarkEnd w:id="52"/>
            <w:bookmarkEnd w:id="53"/>
            <w:bookmarkEnd w:id="54"/>
            <w:bookmarkEnd w:id="55"/>
            <w:bookmarkEnd w:id="56"/>
            <w:bookmarkEnd w:id="57"/>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在该厂法定厂界东侧、南侧、西侧、北侧各布设1个噪声监测点，噪声验收监测内容见下表。</w:t>
            </w:r>
          </w:p>
          <w:p>
            <w:pPr>
              <w:spacing w:line="360" w:lineRule="auto"/>
              <w:ind w:firstLine="482" w:firstLineChars="200"/>
              <w:jc w:val="center"/>
              <w:rPr>
                <w:rFonts w:ascii="Times New Roman" w:hAnsi="Times New Roman" w:eastAsiaTheme="minorEastAsia"/>
                <w:b/>
                <w:bCs/>
                <w:sz w:val="24"/>
              </w:rPr>
            </w:pPr>
            <w:r>
              <w:rPr>
                <w:rFonts w:ascii="Times New Roman" w:hAnsi="Times New Roman" w:eastAsiaTheme="minorEastAsia"/>
                <w:b/>
                <w:bCs/>
                <w:sz w:val="24"/>
              </w:rPr>
              <w:t>表6-2噪声验收监测内容</w:t>
            </w:r>
          </w:p>
          <w:tbl>
            <w:tblPr>
              <w:tblStyle w:val="22"/>
              <w:tblW w:w="87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305"/>
              <w:gridCol w:w="2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0"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序号</w:t>
                  </w:r>
                </w:p>
              </w:tc>
              <w:tc>
                <w:tcPr>
                  <w:tcW w:w="4305"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监测位置</w:t>
                  </w:r>
                </w:p>
              </w:tc>
              <w:tc>
                <w:tcPr>
                  <w:tcW w:w="2903"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0"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bCs/>
                      <w:szCs w:val="21"/>
                    </w:rPr>
                    <w:t>▲1</w:t>
                  </w:r>
                </w:p>
              </w:tc>
              <w:tc>
                <w:tcPr>
                  <w:tcW w:w="4305"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厂界东侧1米处</w:t>
                  </w:r>
                </w:p>
              </w:tc>
              <w:tc>
                <w:tcPr>
                  <w:tcW w:w="2903" w:type="dxa"/>
                  <w:vMerge w:val="restar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连续监测2天，每天昼间监测1次，夜间监测1次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0"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bCs/>
                      <w:szCs w:val="21"/>
                    </w:rPr>
                    <w:t>▲2</w:t>
                  </w:r>
                </w:p>
              </w:tc>
              <w:tc>
                <w:tcPr>
                  <w:tcW w:w="4305"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厂界南侧1米处</w:t>
                  </w:r>
                </w:p>
              </w:tc>
              <w:tc>
                <w:tcPr>
                  <w:tcW w:w="2903" w:type="dxa"/>
                  <w:vMerge w:val="continue"/>
                  <w:tcBorders>
                    <w:tl2br w:val="nil"/>
                    <w:tr2bl w:val="nil"/>
                  </w:tcBorders>
                </w:tcPr>
                <w:p>
                  <w:pPr>
                    <w:pStyle w:val="2"/>
                    <w:jc w:val="both"/>
                    <w:rPr>
                      <w:rFonts w:ascii="Times New Roman" w:hAnsi="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0"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bCs/>
                      <w:szCs w:val="21"/>
                    </w:rPr>
                    <w:t>▲3</w:t>
                  </w:r>
                </w:p>
              </w:tc>
              <w:tc>
                <w:tcPr>
                  <w:tcW w:w="4305"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厂界西侧1米处</w:t>
                  </w:r>
                </w:p>
              </w:tc>
              <w:tc>
                <w:tcPr>
                  <w:tcW w:w="2903" w:type="dxa"/>
                  <w:vMerge w:val="continue"/>
                  <w:tcBorders>
                    <w:tl2br w:val="nil"/>
                    <w:tr2bl w:val="nil"/>
                  </w:tcBorders>
                </w:tcPr>
                <w:p>
                  <w:pPr>
                    <w:pStyle w:val="2"/>
                    <w:jc w:val="both"/>
                    <w:rPr>
                      <w:rFonts w:ascii="Times New Roman" w:hAnsi="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00"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bCs/>
                      <w:szCs w:val="21"/>
                    </w:rPr>
                    <w:t>▲4</w:t>
                  </w:r>
                </w:p>
              </w:tc>
              <w:tc>
                <w:tcPr>
                  <w:tcW w:w="4305"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厂界北侧1米处</w:t>
                  </w:r>
                </w:p>
              </w:tc>
              <w:tc>
                <w:tcPr>
                  <w:tcW w:w="2903" w:type="dxa"/>
                  <w:vMerge w:val="continue"/>
                  <w:tcBorders>
                    <w:tl2br w:val="nil"/>
                    <w:tr2bl w:val="nil"/>
                  </w:tcBorders>
                </w:tcPr>
                <w:p>
                  <w:pPr>
                    <w:pStyle w:val="2"/>
                    <w:jc w:val="both"/>
                    <w:rPr>
                      <w:rFonts w:ascii="Times New Roman" w:hAnsi="Times New Roman" w:eastAsiaTheme="minorEastAsia"/>
                      <w:color w:val="auto"/>
                      <w:sz w:val="21"/>
                      <w:szCs w:val="21"/>
                    </w:rPr>
                  </w:pPr>
                </w:p>
              </w:tc>
            </w:tr>
          </w:tbl>
          <w:p>
            <w:pPr>
              <w:widowControl/>
              <w:spacing w:line="360" w:lineRule="auto"/>
              <w:ind w:left="239" w:leftChars="114" w:firstLine="240" w:firstLineChars="100"/>
              <w:rPr>
                <w:rFonts w:ascii="Times New Roman" w:hAnsi="Times New Roman" w:eastAsiaTheme="minorEastAsia"/>
                <w:bCs/>
                <w:sz w:val="24"/>
              </w:rPr>
            </w:pPr>
            <w:r>
              <w:rPr>
                <w:rFonts w:ascii="Times New Roman" w:hAnsi="Times New Roman" w:eastAsiaTheme="minorEastAsia"/>
                <w:bCs/>
                <w:sz w:val="24"/>
              </w:rPr>
              <w:t>3、废水验收监测内容</w:t>
            </w:r>
          </w:p>
          <w:p>
            <w:pPr>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本项目在污水总排口各布设1个监测点，监测内容见下表。</w:t>
            </w:r>
          </w:p>
          <w:p>
            <w:pPr>
              <w:spacing w:line="360" w:lineRule="auto"/>
              <w:ind w:firstLine="482" w:firstLineChars="200"/>
              <w:jc w:val="center"/>
              <w:rPr>
                <w:rFonts w:ascii="Times New Roman" w:hAnsi="Times New Roman" w:eastAsiaTheme="minorEastAsia"/>
                <w:b/>
                <w:bCs/>
                <w:sz w:val="24"/>
              </w:rPr>
            </w:pPr>
            <w:r>
              <w:rPr>
                <w:rFonts w:ascii="Times New Roman" w:hAnsi="Times New Roman" w:eastAsiaTheme="minorEastAsia"/>
                <w:b/>
                <w:bCs/>
                <w:sz w:val="24"/>
              </w:rPr>
              <w:t>表6-3废水验收监测内容</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1"/>
              <w:gridCol w:w="4859"/>
              <w:gridCol w:w="19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099" w:type="pct"/>
                  <w:tcBorders>
                    <w:top w:val="single" w:color="auto" w:sz="12" w:space="0"/>
                    <w:bottom w:val="single" w:color="auto" w:sz="8" w:space="0"/>
                  </w:tcBorders>
                  <w:vAlign w:val="center"/>
                </w:tcPr>
                <w:p>
                  <w:pPr>
                    <w:spacing w:before="62" w:beforeLines="20" w:after="62" w:afterLines="20"/>
                    <w:jc w:val="center"/>
                    <w:rPr>
                      <w:rFonts w:ascii="Times New Roman" w:hAnsi="Times New Roman" w:eastAsiaTheme="minorEastAsia"/>
                      <w:bCs/>
                    </w:rPr>
                  </w:pPr>
                  <w:r>
                    <w:rPr>
                      <w:rFonts w:ascii="Times New Roman" w:hAnsi="Times New Roman" w:eastAsiaTheme="minorEastAsia"/>
                      <w:bCs/>
                    </w:rPr>
                    <w:t>监测点位</w:t>
                  </w:r>
                </w:p>
              </w:tc>
              <w:tc>
                <w:tcPr>
                  <w:tcW w:w="2766" w:type="pct"/>
                  <w:tcBorders>
                    <w:top w:val="single" w:color="auto" w:sz="12" w:space="0"/>
                    <w:bottom w:val="single" w:color="auto" w:sz="8" w:space="0"/>
                  </w:tcBorders>
                  <w:vAlign w:val="center"/>
                </w:tcPr>
                <w:p>
                  <w:pPr>
                    <w:spacing w:before="62" w:beforeLines="20" w:after="62" w:afterLines="20"/>
                    <w:jc w:val="center"/>
                    <w:rPr>
                      <w:rFonts w:ascii="Times New Roman" w:hAnsi="Times New Roman" w:eastAsiaTheme="minorEastAsia"/>
                      <w:bCs/>
                    </w:rPr>
                  </w:pPr>
                  <w:r>
                    <w:rPr>
                      <w:rFonts w:ascii="Times New Roman" w:hAnsi="Times New Roman" w:eastAsiaTheme="minorEastAsia"/>
                      <w:bCs/>
                    </w:rPr>
                    <w:t>监测项目</w:t>
                  </w:r>
                  <w:r>
                    <w:rPr>
                      <w:rFonts w:ascii="Times New Roman" w:hAnsi="Times New Roman" w:eastAsiaTheme="minorEastAsia"/>
                      <w:bCs/>
                    </w:rPr>
                    <w:softHyphen/>
                  </w:r>
                </w:p>
              </w:tc>
              <w:tc>
                <w:tcPr>
                  <w:tcW w:w="1135" w:type="pct"/>
                  <w:tcBorders>
                    <w:top w:val="single" w:color="auto" w:sz="12" w:space="0"/>
                    <w:bottom w:val="single" w:color="auto" w:sz="8" w:space="0"/>
                  </w:tcBorders>
                  <w:vAlign w:val="center"/>
                </w:tcPr>
                <w:p>
                  <w:pPr>
                    <w:spacing w:before="62" w:beforeLines="20" w:after="62" w:afterLines="20"/>
                    <w:jc w:val="center"/>
                    <w:rPr>
                      <w:rFonts w:ascii="Times New Roman" w:hAnsi="Times New Roman" w:eastAsiaTheme="minorEastAsia"/>
                      <w:bCs/>
                    </w:rPr>
                  </w:pPr>
                  <w:r>
                    <w:rPr>
                      <w:rFonts w:ascii="Times New Roman" w:hAnsi="Times New Roman" w:eastAsiaTheme="minorEastAsia"/>
                      <w:bCs/>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pct"/>
                  <w:vAlign w:val="center"/>
                </w:tcPr>
                <w:p>
                  <w:pPr>
                    <w:spacing w:before="62" w:beforeLines="20" w:after="62" w:afterLines="20"/>
                    <w:jc w:val="center"/>
                    <w:rPr>
                      <w:rFonts w:ascii="Times New Roman" w:hAnsi="Times New Roman" w:eastAsiaTheme="minorEastAsia"/>
                      <w:szCs w:val="21"/>
                    </w:rPr>
                  </w:pPr>
                  <w:r>
                    <w:rPr>
                      <w:rFonts w:ascii="Times New Roman" w:hAnsi="Times New Roman" w:eastAsiaTheme="minorEastAsia"/>
                      <w:szCs w:val="21"/>
                    </w:rPr>
                    <w:t>污水总排口</w:t>
                  </w:r>
                </w:p>
              </w:tc>
              <w:tc>
                <w:tcPr>
                  <w:tcW w:w="2766" w:type="pct"/>
                  <w:vAlign w:val="center"/>
                </w:tcPr>
                <w:p>
                  <w:pPr>
                    <w:spacing w:before="62" w:beforeLines="20" w:after="62" w:afterLines="20"/>
                    <w:jc w:val="center"/>
                    <w:rPr>
                      <w:rFonts w:ascii="Times New Roman" w:hAnsi="Times New Roman" w:eastAsiaTheme="minorEastAsia"/>
                      <w:szCs w:val="21"/>
                    </w:rPr>
                  </w:pPr>
                  <w:r>
                    <w:rPr>
                      <w:rFonts w:ascii="Times New Roman" w:hAnsi="Times New Roman" w:eastAsiaTheme="minorEastAsia"/>
                      <w:szCs w:val="21"/>
                    </w:rPr>
                    <w:t>COD、BOD</w:t>
                  </w:r>
                  <w:r>
                    <w:rPr>
                      <w:rFonts w:ascii="Times New Roman" w:hAnsi="Times New Roman" w:eastAsiaTheme="minorEastAsia"/>
                      <w:szCs w:val="21"/>
                      <w:vertAlign w:val="subscript"/>
                    </w:rPr>
                    <w:t>5</w:t>
                  </w:r>
                  <w:r>
                    <w:rPr>
                      <w:rFonts w:ascii="Times New Roman" w:hAnsi="Times New Roman" w:eastAsiaTheme="minorEastAsia"/>
                      <w:szCs w:val="21"/>
                    </w:rPr>
                    <w:t>、悬浮物、氨氮</w:t>
                  </w:r>
                </w:p>
              </w:tc>
              <w:tc>
                <w:tcPr>
                  <w:tcW w:w="1135" w:type="pct"/>
                  <w:vAlign w:val="center"/>
                </w:tcPr>
                <w:p>
                  <w:pPr>
                    <w:spacing w:before="62" w:beforeLines="20" w:after="62" w:afterLines="20"/>
                    <w:jc w:val="center"/>
                    <w:rPr>
                      <w:rFonts w:ascii="Times New Roman" w:hAnsi="Times New Roman" w:eastAsiaTheme="minorEastAsia"/>
                      <w:szCs w:val="21"/>
                    </w:rPr>
                  </w:pPr>
                  <w:r>
                    <w:rPr>
                      <w:rFonts w:ascii="Times New Roman" w:hAnsi="Times New Roman" w:eastAsiaTheme="minorEastAsia"/>
                      <w:szCs w:val="21"/>
                    </w:rPr>
                    <w:t>连续监测2天，每天监测4次</w:t>
                  </w:r>
                </w:p>
              </w:tc>
            </w:tr>
          </w:tbl>
          <w:p>
            <w:pPr>
              <w:widowControl/>
              <w:spacing w:line="360" w:lineRule="auto"/>
              <w:ind w:left="239" w:leftChars="114" w:firstLine="210" w:firstLineChars="100"/>
              <w:rPr>
                <w:rFonts w:ascii="Times New Roman" w:hAnsi="Times New Roman" w:eastAsiaTheme="minorEastAsia"/>
                <w:color w:val="FF0000"/>
              </w:rPr>
            </w:pPr>
          </w:p>
          <w:p>
            <w:pPr>
              <w:widowControl/>
              <w:spacing w:line="360" w:lineRule="auto"/>
              <w:ind w:left="239" w:leftChars="114" w:firstLine="210" w:firstLineChars="100"/>
              <w:rPr>
                <w:rFonts w:ascii="Times New Roman" w:hAnsi="Times New Roman" w:eastAsiaTheme="minorEastAsia"/>
                <w:color w:val="FF0000"/>
              </w:rPr>
            </w:pPr>
          </w:p>
          <w:p>
            <w:pPr>
              <w:widowControl/>
              <w:spacing w:line="360" w:lineRule="auto"/>
              <w:rPr>
                <w:rFonts w:ascii="Times New Roman" w:hAnsi="Times New Roman" w:eastAsiaTheme="minorEastAsia"/>
                <w:color w:val="FF0000"/>
              </w:rPr>
            </w:pPr>
          </w:p>
        </w:tc>
      </w:tr>
    </w:tbl>
    <w:p>
      <w:pPr>
        <w:spacing w:line="360" w:lineRule="auto"/>
        <w:outlineLvl w:val="0"/>
        <w:rPr>
          <w:rFonts w:ascii="Times New Roman" w:hAnsi="Times New Roman" w:eastAsiaTheme="minorEastAsia"/>
          <w:b/>
          <w:color w:val="FF0000"/>
          <w:sz w:val="28"/>
          <w:szCs w:val="28"/>
        </w:rPr>
        <w:sectPr>
          <w:pgSz w:w="11906" w:h="16838"/>
          <w:pgMar w:top="1440" w:right="1800" w:bottom="1440" w:left="1800" w:header="851" w:footer="992" w:gutter="0"/>
          <w:cols w:space="720" w:num="1"/>
          <w:docGrid w:type="lines" w:linePitch="312" w:charSpace="0"/>
        </w:sectPr>
      </w:pPr>
      <w:bookmarkStart w:id="58" w:name="_Toc28567"/>
      <w:bookmarkStart w:id="59" w:name="_Toc12457"/>
      <w:bookmarkStart w:id="60" w:name="_Toc10322"/>
      <w:bookmarkStart w:id="61" w:name="_Toc11532"/>
    </w:p>
    <w:p>
      <w:pPr>
        <w:spacing w:line="360" w:lineRule="auto"/>
        <w:outlineLvl w:val="0"/>
        <w:rPr>
          <w:rFonts w:ascii="Times New Roman" w:hAnsi="Times New Roman" w:eastAsiaTheme="minorEastAsia"/>
          <w:b/>
          <w:sz w:val="28"/>
          <w:szCs w:val="28"/>
        </w:rPr>
      </w:pPr>
      <w:r>
        <w:rPr>
          <w:rFonts w:ascii="Times New Roman" w:hAnsi="Times New Roman" w:eastAsiaTheme="minorEastAsia"/>
          <w:b/>
          <w:sz w:val="28"/>
          <w:szCs w:val="28"/>
        </w:rPr>
        <w:t>表七收监测结果与分析评价</w:t>
      </w:r>
    </w:p>
    <w:tbl>
      <w:tblPr>
        <w:tblStyle w:val="22"/>
        <w:tblW w:w="51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6" w:hRule="atLeast"/>
        </w:trPr>
        <w:tc>
          <w:tcPr>
            <w:tcW w:w="5000" w:type="pct"/>
          </w:tcPr>
          <w:p>
            <w:pPr>
              <w:spacing w:before="62" w:beforeLines="20" w:line="360" w:lineRule="auto"/>
              <w:rPr>
                <w:rFonts w:ascii="Times New Roman" w:hAnsi="Times New Roman" w:eastAsiaTheme="minorEastAsia"/>
              </w:rPr>
            </w:pPr>
            <w:r>
              <w:rPr>
                <w:rFonts w:ascii="Times New Roman" w:hAnsi="Times New Roman" w:eastAsiaTheme="minorEastAsia"/>
                <w:b/>
                <w:bCs/>
                <w:sz w:val="28"/>
                <w:szCs w:val="28"/>
              </w:rPr>
              <w:t>验收监测期间生产工况记录：</w:t>
            </w:r>
          </w:p>
          <w:p>
            <w:pPr>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验收监测期间，本项目生产设备及环保设施运行正常、稳定。本项目监测工况调查结果见表7-1。</w:t>
            </w:r>
          </w:p>
          <w:p>
            <w:pPr>
              <w:spacing w:line="360" w:lineRule="auto"/>
              <w:ind w:firstLine="482" w:firstLineChars="200"/>
              <w:jc w:val="center"/>
              <w:rPr>
                <w:rFonts w:ascii="Times New Roman" w:hAnsi="Times New Roman" w:eastAsiaTheme="minorEastAsia"/>
                <w:b/>
                <w:sz w:val="24"/>
              </w:rPr>
            </w:pPr>
            <w:r>
              <w:rPr>
                <w:rFonts w:ascii="Times New Roman" w:hAnsi="Times New Roman" w:eastAsiaTheme="minorEastAsia"/>
                <w:b/>
                <w:sz w:val="24"/>
              </w:rPr>
              <w:t>表7-1生产工况调查结果</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2709"/>
              <w:gridCol w:w="2832"/>
              <w:gridCol w:w="18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03" w:hRule="atLeast"/>
                <w:jc w:val="center"/>
              </w:trPr>
              <w:tc>
                <w:tcPr>
                  <w:tcW w:w="943"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bCs/>
                      <w:szCs w:val="21"/>
                    </w:rPr>
                    <w:t>日期</w:t>
                  </w:r>
                </w:p>
              </w:tc>
              <w:tc>
                <w:tcPr>
                  <w:tcW w:w="1493"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设计规模（台/d）</w:t>
                  </w:r>
                </w:p>
              </w:tc>
              <w:tc>
                <w:tcPr>
                  <w:tcW w:w="1561"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实际规模（台/d）</w:t>
                  </w:r>
                </w:p>
              </w:tc>
              <w:tc>
                <w:tcPr>
                  <w:tcW w:w="1003"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bCs/>
                      <w:szCs w:val="21"/>
                    </w:rPr>
                    <w:t>负荷率（%）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3"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rPr>
                    <w:t>2022.12.18</w:t>
                  </w:r>
                </w:p>
              </w:tc>
              <w:tc>
                <w:tcPr>
                  <w:tcW w:w="1493"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拆解报废农用机2.7台/d</w:t>
                  </w:r>
                </w:p>
              </w:tc>
              <w:tc>
                <w:tcPr>
                  <w:tcW w:w="1561"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拆解报废农用机2.5台/d</w:t>
                  </w:r>
                </w:p>
              </w:tc>
              <w:tc>
                <w:tcPr>
                  <w:tcW w:w="1003"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92.6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43"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rPr>
                    <w:t>2022.12.19</w:t>
                  </w:r>
                </w:p>
              </w:tc>
              <w:tc>
                <w:tcPr>
                  <w:tcW w:w="1493"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拆解报废农用机2.7台/d</w:t>
                  </w:r>
                </w:p>
              </w:tc>
              <w:tc>
                <w:tcPr>
                  <w:tcW w:w="1561"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拆解报废农用机2.5台/d</w:t>
                  </w:r>
                </w:p>
              </w:tc>
              <w:tc>
                <w:tcPr>
                  <w:tcW w:w="1003" w:type="pct"/>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92.6</w:t>
                  </w:r>
                </w:p>
              </w:tc>
            </w:tr>
          </w:tbl>
          <w:p>
            <w:pPr>
              <w:spacing w:before="62" w:beforeLines="20" w:line="360" w:lineRule="auto"/>
              <w:rPr>
                <w:rFonts w:ascii="Times New Roman" w:hAnsi="Times New Roman" w:eastAsiaTheme="minorEastAsia"/>
                <w:b/>
                <w:bCs/>
                <w:sz w:val="28"/>
                <w:szCs w:val="28"/>
              </w:rPr>
            </w:pPr>
            <w:r>
              <w:rPr>
                <w:rFonts w:ascii="Times New Roman" w:hAnsi="Times New Roman" w:eastAsiaTheme="minorEastAsia"/>
                <w:b/>
                <w:bCs/>
                <w:sz w:val="28"/>
                <w:szCs w:val="28"/>
              </w:rPr>
              <w:t>验收监测结果：</w:t>
            </w:r>
          </w:p>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一、废气</w:t>
            </w:r>
          </w:p>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1）有组织废气监测结果见表7-2。</w:t>
            </w:r>
          </w:p>
          <w:p>
            <w:pPr>
              <w:spacing w:line="360" w:lineRule="auto"/>
              <w:ind w:firstLine="482" w:firstLineChars="200"/>
              <w:jc w:val="left"/>
              <w:rPr>
                <w:rFonts w:ascii="Times New Roman" w:hAnsi="Times New Roman" w:eastAsiaTheme="minorEastAsia"/>
                <w:b/>
                <w:bCs/>
                <w:sz w:val="24"/>
              </w:rPr>
            </w:pPr>
            <w:bookmarkStart w:id="62" w:name="_Toc13147"/>
            <w:r>
              <w:rPr>
                <w:rFonts w:ascii="Times New Roman" w:hAnsi="Times New Roman" w:eastAsiaTheme="minorEastAsia"/>
                <w:b/>
                <w:bCs/>
                <w:sz w:val="24"/>
              </w:rPr>
              <w:t>无组织废气</w:t>
            </w:r>
          </w:p>
          <w:p>
            <w:pPr>
              <w:spacing w:line="360" w:lineRule="auto"/>
              <w:ind w:firstLine="480" w:firstLineChars="200"/>
              <w:jc w:val="left"/>
              <w:rPr>
                <w:rFonts w:ascii="Times New Roman" w:hAnsi="Times New Roman" w:eastAsiaTheme="minorEastAsia"/>
                <w:sz w:val="24"/>
              </w:rPr>
            </w:pPr>
            <w:r>
              <w:rPr>
                <w:rFonts w:ascii="Times New Roman" w:hAnsi="Times New Roman" w:eastAsiaTheme="minorEastAsia"/>
                <w:sz w:val="24"/>
              </w:rPr>
              <w:t>无组织废气监测结果见表7-2。</w:t>
            </w:r>
            <w:bookmarkEnd w:id="62"/>
          </w:p>
          <w:p>
            <w:pPr>
              <w:spacing w:line="360" w:lineRule="auto"/>
              <w:ind w:firstLine="480" w:firstLineChars="200"/>
              <w:jc w:val="left"/>
              <w:rPr>
                <w:rFonts w:ascii="Times New Roman" w:hAnsi="Times New Roman" w:eastAsiaTheme="minorEastAsia"/>
                <w:sz w:val="24"/>
                <w:szCs w:val="21"/>
              </w:rPr>
            </w:pPr>
            <w:r>
              <w:rPr>
                <w:rFonts w:ascii="Times New Roman" w:hAnsi="Times New Roman" w:eastAsiaTheme="minorEastAsia"/>
                <w:sz w:val="24"/>
              </w:rPr>
              <w:t>无组织废气监测结果表明：验收监测期间，</w:t>
            </w:r>
            <w:r>
              <w:rPr>
                <w:rFonts w:ascii="Times New Roman" w:hAnsi="Times New Roman" w:eastAsiaTheme="minorEastAsia"/>
                <w:bCs/>
                <w:sz w:val="24"/>
              </w:rPr>
              <w:t>厂界外上风向非甲烷总烃最大排放浓度为0.79mg/m</w:t>
            </w:r>
            <w:r>
              <w:rPr>
                <w:rFonts w:ascii="Times New Roman" w:hAnsi="Times New Roman" w:eastAsiaTheme="minorEastAsia"/>
                <w:bCs/>
                <w:sz w:val="24"/>
                <w:vertAlign w:val="superscript"/>
              </w:rPr>
              <w:t>3</w:t>
            </w:r>
            <w:r>
              <w:rPr>
                <w:rFonts w:ascii="Times New Roman" w:hAnsi="Times New Roman" w:eastAsiaTheme="minorEastAsia"/>
                <w:bCs/>
                <w:sz w:val="24"/>
              </w:rPr>
              <w:t>，</w:t>
            </w:r>
            <w:r>
              <w:rPr>
                <w:rFonts w:ascii="Times New Roman" w:hAnsi="Times New Roman" w:eastAsiaTheme="minorEastAsia"/>
                <w:sz w:val="24"/>
              </w:rPr>
              <w:t>厂界外下风向</w:t>
            </w:r>
            <w:r>
              <w:rPr>
                <w:rFonts w:ascii="Times New Roman" w:hAnsi="Times New Roman" w:eastAsiaTheme="minorEastAsia"/>
                <w:bCs/>
                <w:sz w:val="24"/>
              </w:rPr>
              <w:t>非甲烷总烃</w:t>
            </w:r>
            <w:r>
              <w:rPr>
                <w:rFonts w:ascii="Times New Roman" w:hAnsi="Times New Roman" w:eastAsiaTheme="minorEastAsia"/>
                <w:sz w:val="24"/>
              </w:rPr>
              <w:t>最大排放浓度为0.94mg/m</w:t>
            </w:r>
            <w:r>
              <w:rPr>
                <w:rFonts w:ascii="Times New Roman" w:hAnsi="Times New Roman" w:eastAsiaTheme="minorEastAsia"/>
                <w:sz w:val="24"/>
                <w:vertAlign w:val="superscript"/>
              </w:rPr>
              <w:t>3</w:t>
            </w:r>
            <w:r>
              <w:rPr>
                <w:rFonts w:ascii="Times New Roman" w:hAnsi="Times New Roman" w:eastAsiaTheme="minorEastAsia"/>
                <w:sz w:val="24"/>
              </w:rPr>
              <w:t>，满足</w:t>
            </w:r>
            <w:r>
              <w:rPr>
                <w:rFonts w:ascii="Times New Roman" w:hAnsi="Times New Roman" w:eastAsiaTheme="minorEastAsia"/>
                <w:sz w:val="24"/>
                <w:szCs w:val="21"/>
              </w:rPr>
              <w:t>《大气污染物综合排放标准》（GB16297-1996）的表2规定</w:t>
            </w:r>
            <w:r>
              <w:rPr>
                <w:rFonts w:ascii="Times New Roman" w:hAnsi="Times New Roman" w:eastAsiaTheme="minorEastAsia"/>
                <w:sz w:val="24"/>
              </w:rPr>
              <w:t>要求。</w:t>
            </w:r>
          </w:p>
          <w:p>
            <w:pPr>
              <w:spacing w:line="360" w:lineRule="auto"/>
              <w:ind w:firstLine="480" w:firstLineChars="200"/>
              <w:jc w:val="left"/>
              <w:rPr>
                <w:rFonts w:ascii="Times New Roman" w:hAnsi="Times New Roman" w:eastAsiaTheme="minorEastAsia"/>
                <w:bCs/>
                <w:sz w:val="24"/>
              </w:rPr>
            </w:pPr>
            <w:r>
              <w:rPr>
                <w:rFonts w:ascii="Times New Roman" w:hAnsi="Times New Roman" w:eastAsiaTheme="minorEastAsia"/>
                <w:sz w:val="24"/>
              </w:rPr>
              <w:t>验收监测期间，</w:t>
            </w:r>
            <w:r>
              <w:rPr>
                <w:rFonts w:ascii="Times New Roman" w:hAnsi="Times New Roman" w:eastAsiaTheme="minorEastAsia"/>
                <w:bCs/>
                <w:sz w:val="24"/>
              </w:rPr>
              <w:t>厂界外上风向颗粒物最大排放浓度为0.115mg/m</w:t>
            </w:r>
            <w:r>
              <w:rPr>
                <w:rFonts w:ascii="Times New Roman" w:hAnsi="Times New Roman" w:eastAsiaTheme="minorEastAsia"/>
                <w:bCs/>
                <w:sz w:val="24"/>
                <w:vertAlign w:val="superscript"/>
              </w:rPr>
              <w:t>3</w:t>
            </w:r>
            <w:r>
              <w:rPr>
                <w:rFonts w:ascii="Times New Roman" w:hAnsi="Times New Roman" w:eastAsiaTheme="minorEastAsia"/>
                <w:bCs/>
                <w:sz w:val="24"/>
              </w:rPr>
              <w:t>，</w:t>
            </w:r>
            <w:r>
              <w:rPr>
                <w:rFonts w:ascii="Times New Roman" w:hAnsi="Times New Roman" w:eastAsiaTheme="minorEastAsia"/>
                <w:sz w:val="24"/>
              </w:rPr>
              <w:t>厂界外下风向</w:t>
            </w:r>
            <w:r>
              <w:rPr>
                <w:rFonts w:ascii="Times New Roman" w:hAnsi="Times New Roman" w:eastAsiaTheme="minorEastAsia"/>
                <w:bCs/>
                <w:sz w:val="24"/>
              </w:rPr>
              <w:t>颗粒物最大排放浓度为0.181mg/m</w:t>
            </w:r>
            <w:r>
              <w:rPr>
                <w:rFonts w:ascii="Times New Roman" w:hAnsi="Times New Roman" w:eastAsiaTheme="minorEastAsia"/>
                <w:bCs/>
                <w:sz w:val="24"/>
                <w:vertAlign w:val="superscript"/>
              </w:rPr>
              <w:t>3</w:t>
            </w:r>
            <w:r>
              <w:rPr>
                <w:rFonts w:ascii="Times New Roman" w:hAnsi="Times New Roman" w:eastAsiaTheme="minorEastAsia"/>
                <w:bCs/>
                <w:sz w:val="24"/>
              </w:rPr>
              <w:t>，</w:t>
            </w:r>
            <w:r>
              <w:rPr>
                <w:rFonts w:ascii="Times New Roman" w:hAnsi="Times New Roman" w:eastAsiaTheme="minorEastAsia"/>
                <w:sz w:val="24"/>
              </w:rPr>
              <w:t>满足</w:t>
            </w:r>
            <w:r>
              <w:rPr>
                <w:rFonts w:ascii="Times New Roman" w:hAnsi="Times New Roman" w:eastAsiaTheme="minorEastAsia"/>
                <w:sz w:val="24"/>
                <w:szCs w:val="21"/>
              </w:rPr>
              <w:t>《大气污染物综合排放标准》（GB16297-1996）的表2规定</w:t>
            </w:r>
            <w:r>
              <w:rPr>
                <w:rFonts w:ascii="Times New Roman" w:hAnsi="Times New Roman" w:eastAsiaTheme="minorEastAsia"/>
                <w:sz w:val="24"/>
              </w:rPr>
              <w:t>要求</w:t>
            </w:r>
            <w:r>
              <w:rPr>
                <w:rFonts w:ascii="Times New Roman" w:hAnsi="Times New Roman" w:eastAsiaTheme="minorEastAsia"/>
                <w:bCs/>
                <w:sz w:val="24"/>
                <w:szCs w:val="21"/>
              </w:rPr>
              <w:t>。</w:t>
            </w:r>
          </w:p>
          <w:p>
            <w:pPr>
              <w:jc w:val="center"/>
              <w:rPr>
                <w:rFonts w:ascii="Times New Roman" w:hAnsi="Times New Roman" w:eastAsiaTheme="minorEastAsia"/>
                <w:b/>
                <w:bCs/>
                <w:sz w:val="24"/>
                <w:vertAlign w:val="superscript"/>
              </w:rPr>
            </w:pPr>
            <w:r>
              <w:rPr>
                <w:rFonts w:ascii="Times New Roman" w:hAnsi="Times New Roman" w:eastAsiaTheme="minorEastAsia"/>
                <w:b/>
                <w:bCs/>
                <w:sz w:val="24"/>
              </w:rPr>
              <w:t>表7-2厂界无组织废气监测结果单位：mg/m</w:t>
            </w:r>
            <w:r>
              <w:rPr>
                <w:rFonts w:ascii="Times New Roman" w:hAnsi="Times New Roman" w:eastAsiaTheme="minorEastAsia"/>
                <w:b/>
                <w:bCs/>
                <w:sz w:val="24"/>
                <w:vertAlign w:val="superscript"/>
              </w:rPr>
              <w:t>3</w:t>
            </w:r>
          </w:p>
          <w:tbl>
            <w:tblPr>
              <w:tblStyle w:val="2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1"/>
              <w:gridCol w:w="1425"/>
              <w:gridCol w:w="1428"/>
              <w:gridCol w:w="1428"/>
              <w:gridCol w:w="1428"/>
              <w:gridCol w:w="14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5" w:hRule="atLeast"/>
                <w:tblHeader/>
                <w:jc w:val="center"/>
              </w:trPr>
              <w:tc>
                <w:tcPr>
                  <w:tcW w:w="1931" w:type="dxa"/>
                  <w:vMerge w:val="restart"/>
                  <w:vAlign w:val="center"/>
                </w:tcPr>
                <w:p>
                  <w:pPr>
                    <w:spacing w:before="62" w:beforeLines="20" w:after="62" w:afterLines="20"/>
                    <w:jc w:val="center"/>
                    <w:rPr>
                      <w:rFonts w:ascii="Times New Roman" w:hAnsi="Times New Roman"/>
                      <w:bCs/>
                      <w:szCs w:val="21"/>
                    </w:rPr>
                  </w:pPr>
                  <w:r>
                    <w:rPr>
                      <w:rFonts w:ascii="Times New Roman" w:hAnsi="Times New Roman"/>
                      <w:bCs/>
                      <w:szCs w:val="21"/>
                    </w:rPr>
                    <w:t>检测项目</w:t>
                  </w:r>
                </w:p>
              </w:tc>
              <w:tc>
                <w:tcPr>
                  <w:tcW w:w="1425" w:type="dxa"/>
                  <w:vMerge w:val="restart"/>
                  <w:vAlign w:val="center"/>
                </w:tcPr>
                <w:p>
                  <w:pPr>
                    <w:spacing w:before="62" w:beforeLines="20" w:after="62" w:afterLines="20"/>
                    <w:jc w:val="center"/>
                    <w:rPr>
                      <w:rFonts w:ascii="Times New Roman" w:hAnsi="Times New Roman"/>
                      <w:szCs w:val="21"/>
                    </w:rPr>
                  </w:pPr>
                  <w:r>
                    <w:rPr>
                      <w:rFonts w:ascii="Times New Roman" w:hAnsi="Times New Roman"/>
                      <w:bCs/>
                      <w:szCs w:val="21"/>
                    </w:rPr>
                    <w:t>采样频次</w:t>
                  </w:r>
                </w:p>
              </w:tc>
              <w:tc>
                <w:tcPr>
                  <w:tcW w:w="5715" w:type="dxa"/>
                  <w:gridSpan w:val="4"/>
                  <w:vAlign w:val="center"/>
                </w:tcPr>
                <w:p>
                  <w:pPr>
                    <w:spacing w:before="62" w:beforeLines="20" w:after="62" w:afterLines="20"/>
                    <w:jc w:val="center"/>
                    <w:rPr>
                      <w:rFonts w:ascii="Times New Roman" w:hAnsi="Times New Roman"/>
                      <w:bCs/>
                      <w:szCs w:val="21"/>
                    </w:rPr>
                  </w:pPr>
                  <w:r>
                    <w:rPr>
                      <w:rFonts w:ascii="Times New Roman" w:hAnsi="Times New Roman"/>
                      <w:bCs/>
                      <w:szCs w:val="21"/>
                    </w:rPr>
                    <w:t>检测结果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931" w:type="dxa"/>
                  <w:vMerge w:val="continue"/>
                  <w:vAlign w:val="center"/>
                </w:tcPr>
                <w:p>
                  <w:pPr>
                    <w:spacing w:before="62" w:beforeLines="20" w:after="62" w:afterLines="20"/>
                    <w:jc w:val="center"/>
                    <w:rPr>
                      <w:rFonts w:ascii="Times New Roman" w:hAnsi="Times New Roman"/>
                      <w:bCs/>
                      <w:szCs w:val="21"/>
                    </w:rPr>
                  </w:pPr>
                </w:p>
              </w:tc>
              <w:tc>
                <w:tcPr>
                  <w:tcW w:w="1425" w:type="dxa"/>
                  <w:vMerge w:val="continue"/>
                  <w:vAlign w:val="center"/>
                </w:tcPr>
                <w:p>
                  <w:pPr>
                    <w:spacing w:before="62" w:beforeLines="20" w:after="62" w:afterLines="20"/>
                    <w:jc w:val="center"/>
                    <w:rPr>
                      <w:rFonts w:ascii="Times New Roman" w:hAnsi="Times New Roman"/>
                      <w:bCs/>
                      <w:szCs w:val="21"/>
                    </w:rPr>
                  </w:pPr>
                </w:p>
              </w:tc>
              <w:tc>
                <w:tcPr>
                  <w:tcW w:w="2856" w:type="dxa"/>
                  <w:gridSpan w:val="2"/>
                  <w:vAlign w:val="center"/>
                </w:tcPr>
                <w:p>
                  <w:pPr>
                    <w:spacing w:before="62" w:beforeLines="20" w:after="62" w:afterLines="20"/>
                    <w:jc w:val="center"/>
                    <w:rPr>
                      <w:rFonts w:ascii="Times New Roman" w:hAnsi="Times New Roman"/>
                      <w:bCs/>
                      <w:szCs w:val="21"/>
                    </w:rPr>
                  </w:pPr>
                  <w:r>
                    <w:rPr>
                      <w:rFonts w:ascii="Times New Roman" w:hAnsi="Times New Roman"/>
                      <w:bCs/>
                      <w:szCs w:val="21"/>
                    </w:rPr>
                    <w:t>非甲烷总烃</w:t>
                  </w:r>
                </w:p>
              </w:tc>
              <w:tc>
                <w:tcPr>
                  <w:tcW w:w="2859" w:type="dxa"/>
                  <w:gridSpan w:val="2"/>
                  <w:vAlign w:val="center"/>
                </w:tcPr>
                <w:p>
                  <w:pPr>
                    <w:spacing w:before="62" w:beforeLines="20" w:after="62" w:afterLines="20"/>
                    <w:jc w:val="center"/>
                    <w:rPr>
                      <w:rFonts w:ascii="Times New Roman" w:hAnsi="Times New Roman"/>
                      <w:bCs/>
                      <w:szCs w:val="21"/>
                    </w:rPr>
                  </w:pPr>
                  <w:r>
                    <w:rPr>
                      <w:rFonts w:ascii="Times New Roman" w:hAnsi="Times New Roman"/>
                      <w:bCs/>
                      <w:szCs w:val="21"/>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5" w:hRule="atLeast"/>
                <w:tblHeader/>
                <w:jc w:val="center"/>
              </w:trPr>
              <w:tc>
                <w:tcPr>
                  <w:tcW w:w="1931" w:type="dxa"/>
                  <w:vMerge w:val="continue"/>
                  <w:vAlign w:val="center"/>
                </w:tcPr>
                <w:p>
                  <w:pPr>
                    <w:spacing w:before="62" w:beforeLines="20" w:after="62" w:afterLines="20"/>
                    <w:jc w:val="center"/>
                    <w:rPr>
                      <w:rFonts w:ascii="Times New Roman" w:hAnsi="Times New Roman"/>
                      <w:bCs/>
                      <w:szCs w:val="21"/>
                    </w:rPr>
                  </w:pPr>
                </w:p>
              </w:tc>
              <w:tc>
                <w:tcPr>
                  <w:tcW w:w="1425" w:type="dxa"/>
                  <w:vMerge w:val="continue"/>
                  <w:vAlign w:val="center"/>
                </w:tcPr>
                <w:p>
                  <w:pPr>
                    <w:spacing w:before="62" w:beforeLines="20" w:after="62" w:afterLines="20"/>
                    <w:jc w:val="center"/>
                    <w:rPr>
                      <w:rFonts w:ascii="Times New Roman" w:hAnsi="Times New Roman"/>
                      <w:bCs/>
                      <w:szCs w:val="21"/>
                    </w:rPr>
                  </w:pPr>
                </w:p>
              </w:tc>
              <w:tc>
                <w:tcPr>
                  <w:tcW w:w="1428" w:type="dxa"/>
                  <w:vAlign w:val="center"/>
                </w:tcPr>
                <w:p>
                  <w:pPr>
                    <w:spacing w:before="62" w:beforeLines="20" w:after="62" w:afterLines="20"/>
                    <w:jc w:val="center"/>
                    <w:rPr>
                      <w:rFonts w:ascii="Times New Roman" w:hAnsi="Times New Roman"/>
                      <w:bCs/>
                      <w:szCs w:val="21"/>
                    </w:rPr>
                  </w:pPr>
                  <w:r>
                    <w:rPr>
                      <w:rFonts w:ascii="Times New Roman" w:hAnsi="Times New Roman"/>
                      <w:szCs w:val="21"/>
                    </w:rPr>
                    <w:t>2022.12.18</w:t>
                  </w:r>
                </w:p>
              </w:tc>
              <w:tc>
                <w:tcPr>
                  <w:tcW w:w="1428" w:type="dxa"/>
                  <w:vAlign w:val="center"/>
                </w:tcPr>
                <w:p>
                  <w:pPr>
                    <w:spacing w:before="62" w:beforeLines="20" w:after="62" w:afterLines="20"/>
                    <w:jc w:val="center"/>
                    <w:rPr>
                      <w:rFonts w:ascii="Times New Roman" w:hAnsi="Times New Roman"/>
                      <w:szCs w:val="21"/>
                    </w:rPr>
                  </w:pPr>
                  <w:r>
                    <w:rPr>
                      <w:rFonts w:ascii="Times New Roman" w:hAnsi="Times New Roman"/>
                      <w:szCs w:val="21"/>
                    </w:rPr>
                    <w:t>2022.12.19</w:t>
                  </w:r>
                </w:p>
              </w:tc>
              <w:tc>
                <w:tcPr>
                  <w:tcW w:w="1428" w:type="dxa"/>
                  <w:vAlign w:val="center"/>
                </w:tcPr>
                <w:p>
                  <w:pPr>
                    <w:spacing w:before="62" w:beforeLines="20" w:after="62" w:afterLines="20"/>
                    <w:jc w:val="center"/>
                    <w:rPr>
                      <w:rFonts w:ascii="Times New Roman" w:hAnsi="Times New Roman"/>
                      <w:szCs w:val="21"/>
                    </w:rPr>
                  </w:pPr>
                  <w:r>
                    <w:rPr>
                      <w:rFonts w:ascii="Times New Roman" w:hAnsi="Times New Roman"/>
                      <w:szCs w:val="21"/>
                    </w:rPr>
                    <w:t>2022.12.18</w:t>
                  </w:r>
                </w:p>
              </w:tc>
              <w:tc>
                <w:tcPr>
                  <w:tcW w:w="1431" w:type="dxa"/>
                  <w:vAlign w:val="center"/>
                </w:tcPr>
                <w:p>
                  <w:pPr>
                    <w:spacing w:before="62" w:beforeLines="20" w:after="62" w:afterLines="20"/>
                    <w:jc w:val="center"/>
                    <w:rPr>
                      <w:rFonts w:ascii="Times New Roman" w:hAnsi="Times New Roman"/>
                      <w:szCs w:val="21"/>
                    </w:rPr>
                  </w:pPr>
                  <w:r>
                    <w:rPr>
                      <w:rFonts w:ascii="Times New Roman" w:hAnsi="Times New Roman"/>
                      <w:szCs w:val="21"/>
                    </w:rPr>
                    <w:t>2022.12.19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5" w:hRule="atLeast"/>
                <w:jc w:val="center"/>
              </w:trPr>
              <w:tc>
                <w:tcPr>
                  <w:tcW w:w="1931" w:type="dxa"/>
                  <w:vMerge w:val="restart"/>
                  <w:vAlign w:val="center"/>
                </w:tcPr>
                <w:p>
                  <w:pPr>
                    <w:shd w:val="clear" w:color="auto" w:fill="FFFFFF"/>
                    <w:tabs>
                      <w:tab w:val="left" w:pos="2670"/>
                    </w:tabs>
                    <w:spacing w:before="62" w:beforeLines="20" w:after="62" w:afterLines="20"/>
                    <w:jc w:val="center"/>
                    <w:rPr>
                      <w:rFonts w:ascii="Times New Roman" w:hAnsi="Times New Roman"/>
                      <w:szCs w:val="21"/>
                    </w:rPr>
                  </w:pPr>
                  <w:r>
                    <w:rPr>
                      <w:rFonts w:ascii="Times New Roman" w:hAnsi="Times New Roman"/>
                      <w:szCs w:val="21"/>
                    </w:rPr>
                    <w:t>О1#</w:t>
                  </w:r>
                  <w:r>
                    <w:rPr>
                      <w:rFonts w:ascii="Times New Roman" w:hAnsi="Times New Roman"/>
                      <w:bCs/>
                      <w:szCs w:val="21"/>
                    </w:rPr>
                    <w:t>厂界上风向</w:t>
                  </w:r>
                </w:p>
              </w:tc>
              <w:tc>
                <w:tcPr>
                  <w:tcW w:w="1425" w:type="dxa"/>
                  <w:vAlign w:val="center"/>
                </w:tcPr>
                <w:p>
                  <w:pPr>
                    <w:shd w:val="clear" w:color="auto" w:fill="FFFFFF"/>
                    <w:tabs>
                      <w:tab w:val="left" w:pos="2670"/>
                    </w:tabs>
                    <w:spacing w:before="62" w:beforeLines="20" w:after="62" w:afterLines="20"/>
                    <w:jc w:val="center"/>
                    <w:rPr>
                      <w:rFonts w:ascii="Times New Roman" w:hAnsi="Times New Roman"/>
                      <w:szCs w:val="21"/>
                    </w:rPr>
                  </w:pPr>
                  <w:r>
                    <w:rPr>
                      <w:rFonts w:ascii="Times New Roman" w:hAnsi="Times New Roman"/>
                      <w:szCs w:val="21"/>
                    </w:rPr>
                    <w:t>第一次</w:t>
                  </w:r>
                </w:p>
              </w:tc>
              <w:tc>
                <w:tcPr>
                  <w:tcW w:w="1428" w:type="dxa"/>
                  <w:vAlign w:val="center"/>
                </w:tcPr>
                <w:p>
                  <w:pPr>
                    <w:widowControl/>
                    <w:jc w:val="center"/>
                    <w:textAlignment w:val="center"/>
                    <w:rPr>
                      <w:rFonts w:ascii="Times New Roman" w:hAnsi="Times New Roman"/>
                      <w:bCs/>
                      <w:szCs w:val="21"/>
                    </w:rPr>
                  </w:pPr>
                  <w:r>
                    <w:rPr>
                      <w:rFonts w:ascii="Times New Roman" w:hAnsi="Times New Roman"/>
                      <w:color w:val="000000"/>
                      <w:kern w:val="0"/>
                      <w:szCs w:val="21"/>
                      <w:lang w:bidi="ar"/>
                    </w:rPr>
                    <w:t xml:space="preserve">0.79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0.78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0.082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0.115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5" w:hRule="atLeast"/>
                <w:jc w:val="center"/>
              </w:trPr>
              <w:tc>
                <w:tcPr>
                  <w:tcW w:w="1931" w:type="dxa"/>
                  <w:vMerge w:val="continue"/>
                  <w:vAlign w:val="center"/>
                </w:tcPr>
                <w:p>
                  <w:pPr>
                    <w:shd w:val="clear" w:color="auto" w:fill="FFFFFF"/>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第二次</w:t>
                  </w:r>
                </w:p>
              </w:tc>
              <w:tc>
                <w:tcPr>
                  <w:tcW w:w="1428" w:type="dxa"/>
                  <w:vAlign w:val="center"/>
                </w:tcPr>
                <w:p>
                  <w:pPr>
                    <w:widowControl/>
                    <w:jc w:val="center"/>
                    <w:textAlignment w:val="center"/>
                    <w:rPr>
                      <w:rFonts w:ascii="Times New Roman" w:hAnsi="Times New Roman"/>
                      <w:bCs/>
                      <w:szCs w:val="21"/>
                    </w:rPr>
                  </w:pPr>
                  <w:r>
                    <w:rPr>
                      <w:rFonts w:ascii="Times New Roman" w:hAnsi="Times New Roman"/>
                      <w:color w:val="000000"/>
                      <w:kern w:val="0"/>
                      <w:szCs w:val="21"/>
                      <w:lang w:bidi="ar"/>
                    </w:rPr>
                    <w:t xml:space="preserve">0.70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0.74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0.098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0.082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continue"/>
                  <w:vAlign w:val="center"/>
                </w:tcPr>
                <w:p>
                  <w:pPr>
                    <w:shd w:val="clear" w:color="auto" w:fill="FFFFFF"/>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第三次</w:t>
                  </w:r>
                </w:p>
              </w:tc>
              <w:tc>
                <w:tcPr>
                  <w:tcW w:w="1428" w:type="dxa"/>
                  <w:vAlign w:val="center"/>
                </w:tcPr>
                <w:p>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 xml:space="preserve">0.76 </w:t>
                  </w:r>
                </w:p>
              </w:tc>
              <w:tc>
                <w:tcPr>
                  <w:tcW w:w="1428" w:type="dxa"/>
                  <w:vAlign w:val="center"/>
                </w:tcPr>
                <w:p>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 xml:space="preserve">0.77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0.082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0.115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continue"/>
                  <w:vAlign w:val="center"/>
                </w:tcPr>
                <w:p>
                  <w:pPr>
                    <w:shd w:val="clear" w:color="auto" w:fill="FFFFFF"/>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第四次</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0.71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0.75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0.115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0.099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restart"/>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О2#</w:t>
                  </w:r>
                  <w:r>
                    <w:rPr>
                      <w:rFonts w:ascii="Times New Roman" w:hAnsi="Times New Roman"/>
                      <w:bCs/>
                      <w:szCs w:val="21"/>
                    </w:rPr>
                    <w:t>厂界下风向1</w:t>
                  </w:r>
                </w:p>
              </w:tc>
              <w:tc>
                <w:tcPr>
                  <w:tcW w:w="1425" w:type="dxa"/>
                  <w:vAlign w:val="center"/>
                </w:tcPr>
                <w:p>
                  <w:pPr>
                    <w:shd w:val="clear" w:color="auto" w:fill="FFFFFF"/>
                    <w:tabs>
                      <w:tab w:val="left" w:pos="2670"/>
                    </w:tabs>
                    <w:spacing w:before="62" w:beforeLines="20" w:after="62" w:afterLines="20"/>
                    <w:jc w:val="center"/>
                    <w:rPr>
                      <w:rFonts w:ascii="Times New Roman" w:hAnsi="Times New Roman"/>
                      <w:szCs w:val="21"/>
                    </w:rPr>
                  </w:pPr>
                  <w:r>
                    <w:rPr>
                      <w:rFonts w:ascii="Times New Roman" w:hAnsi="Times New Roman"/>
                      <w:szCs w:val="21"/>
                    </w:rPr>
                    <w:t>第一次</w:t>
                  </w:r>
                </w:p>
              </w:tc>
              <w:tc>
                <w:tcPr>
                  <w:tcW w:w="1428" w:type="dxa"/>
                  <w:vAlign w:val="center"/>
                </w:tcPr>
                <w:p>
                  <w:pPr>
                    <w:widowControl/>
                    <w:jc w:val="center"/>
                    <w:textAlignment w:val="center"/>
                    <w:rPr>
                      <w:rFonts w:ascii="Times New Roman" w:hAnsi="Times New Roman"/>
                      <w:bCs/>
                      <w:szCs w:val="21"/>
                    </w:rPr>
                  </w:pPr>
                  <w:r>
                    <w:rPr>
                      <w:rFonts w:ascii="Times New Roman" w:hAnsi="Times New Roman"/>
                      <w:color w:val="000000"/>
                      <w:kern w:val="0"/>
                      <w:szCs w:val="21"/>
                      <w:lang w:bidi="ar"/>
                    </w:rPr>
                    <w:t xml:space="preserve">0.94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0.85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0.147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0.164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continue"/>
                  <w:vAlign w:val="center"/>
                </w:tcPr>
                <w:p>
                  <w:pPr>
                    <w:shd w:val="clear" w:color="auto" w:fill="FFFFFF"/>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第二次</w:t>
                  </w:r>
                </w:p>
              </w:tc>
              <w:tc>
                <w:tcPr>
                  <w:tcW w:w="1428" w:type="dxa"/>
                  <w:vAlign w:val="center"/>
                </w:tcPr>
                <w:p>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 xml:space="preserve">0.82 </w:t>
                  </w:r>
                </w:p>
              </w:tc>
              <w:tc>
                <w:tcPr>
                  <w:tcW w:w="1428" w:type="dxa"/>
                  <w:vAlign w:val="center"/>
                </w:tcPr>
                <w:p>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 xml:space="preserve">0.90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0.163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0.148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continue"/>
                  <w:vAlign w:val="center"/>
                </w:tcPr>
                <w:p>
                  <w:pPr>
                    <w:shd w:val="clear" w:color="auto" w:fill="FFFFFF"/>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第三次</w:t>
                  </w:r>
                </w:p>
              </w:tc>
              <w:tc>
                <w:tcPr>
                  <w:tcW w:w="1428" w:type="dxa"/>
                  <w:vAlign w:val="center"/>
                </w:tcPr>
                <w:p>
                  <w:pPr>
                    <w:widowControl/>
                    <w:jc w:val="center"/>
                    <w:textAlignment w:val="center"/>
                    <w:rPr>
                      <w:rFonts w:ascii="Times New Roman" w:hAnsi="Times New Roman"/>
                      <w:bCs/>
                      <w:szCs w:val="21"/>
                    </w:rPr>
                  </w:pPr>
                  <w:r>
                    <w:rPr>
                      <w:rFonts w:ascii="Times New Roman" w:hAnsi="Times New Roman"/>
                      <w:color w:val="000000"/>
                      <w:kern w:val="0"/>
                      <w:szCs w:val="21"/>
                      <w:lang w:bidi="ar"/>
                    </w:rPr>
                    <w:t xml:space="preserve">0.91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0.86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0.131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0.131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continue"/>
                  <w:vAlign w:val="center"/>
                </w:tcPr>
                <w:p>
                  <w:pPr>
                    <w:shd w:val="clear" w:color="auto" w:fill="FFFFFF"/>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第四次</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0.92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0.81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0.181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0.132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restart"/>
                  <w:vAlign w:val="center"/>
                </w:tcPr>
                <w:p>
                  <w:pPr>
                    <w:shd w:val="clear" w:color="auto" w:fill="FFFFFF"/>
                    <w:tabs>
                      <w:tab w:val="left" w:pos="2670"/>
                    </w:tabs>
                    <w:spacing w:before="62" w:beforeLines="20" w:after="62" w:afterLines="20"/>
                    <w:jc w:val="center"/>
                    <w:rPr>
                      <w:rFonts w:ascii="Times New Roman" w:hAnsi="Times New Roman"/>
                      <w:szCs w:val="21"/>
                    </w:rPr>
                  </w:pPr>
                  <w:r>
                    <w:rPr>
                      <w:rFonts w:ascii="Times New Roman" w:hAnsi="Times New Roman"/>
                      <w:szCs w:val="21"/>
                    </w:rPr>
                    <w:t>О3#</w:t>
                  </w:r>
                  <w:r>
                    <w:rPr>
                      <w:rFonts w:ascii="Times New Roman" w:hAnsi="Times New Roman"/>
                      <w:bCs/>
                      <w:szCs w:val="21"/>
                    </w:rPr>
                    <w:t>厂界下风向2</w:t>
                  </w:r>
                </w:p>
              </w:tc>
              <w:tc>
                <w:tcPr>
                  <w:tcW w:w="1425" w:type="dxa"/>
                  <w:vAlign w:val="center"/>
                </w:tcPr>
                <w:p>
                  <w:pPr>
                    <w:shd w:val="clear" w:color="auto" w:fill="FFFFFF"/>
                    <w:tabs>
                      <w:tab w:val="left" w:pos="2670"/>
                    </w:tabs>
                    <w:spacing w:before="62" w:beforeLines="20" w:after="62" w:afterLines="20"/>
                    <w:jc w:val="center"/>
                    <w:rPr>
                      <w:rFonts w:ascii="Times New Roman" w:hAnsi="Times New Roman"/>
                      <w:szCs w:val="21"/>
                    </w:rPr>
                  </w:pPr>
                  <w:r>
                    <w:rPr>
                      <w:rFonts w:ascii="Times New Roman" w:hAnsi="Times New Roman"/>
                      <w:szCs w:val="21"/>
                    </w:rPr>
                    <w:t>第一次</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0.94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0.93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0.146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0.180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continue"/>
                  <w:vAlign w:val="center"/>
                </w:tcPr>
                <w:p>
                  <w:pPr>
                    <w:shd w:val="clear" w:color="auto" w:fill="FFFFFF"/>
                    <w:tabs>
                      <w:tab w:val="left" w:pos="2670"/>
                    </w:tabs>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第二次</w:t>
                  </w:r>
                </w:p>
              </w:tc>
              <w:tc>
                <w:tcPr>
                  <w:tcW w:w="1428" w:type="dxa"/>
                  <w:vAlign w:val="center"/>
                </w:tcPr>
                <w:p>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 xml:space="preserve">0.92 </w:t>
                  </w:r>
                </w:p>
              </w:tc>
              <w:tc>
                <w:tcPr>
                  <w:tcW w:w="1428" w:type="dxa"/>
                  <w:vAlign w:val="center"/>
                </w:tcPr>
                <w:p>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 xml:space="preserve">0.86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0.164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0.131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continue"/>
                  <w:vAlign w:val="center"/>
                </w:tcPr>
                <w:p>
                  <w:pPr>
                    <w:shd w:val="clear" w:color="auto" w:fill="FFFFFF"/>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第三次</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0.92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0.88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0.180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0.131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continue"/>
                  <w:vAlign w:val="center"/>
                </w:tcPr>
                <w:p>
                  <w:pPr>
                    <w:shd w:val="clear" w:color="auto" w:fill="FFFFFF"/>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第四次</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0.93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0.88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0.181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0.181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restart"/>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О4#</w:t>
                  </w:r>
                  <w:r>
                    <w:rPr>
                      <w:rFonts w:ascii="Times New Roman" w:hAnsi="Times New Roman"/>
                      <w:bCs/>
                      <w:szCs w:val="21"/>
                    </w:rPr>
                    <w:t>厂界下风向3</w:t>
                  </w:r>
                </w:p>
              </w:tc>
              <w:tc>
                <w:tcPr>
                  <w:tcW w:w="1425" w:type="dxa"/>
                  <w:vAlign w:val="center"/>
                </w:tcPr>
                <w:p>
                  <w:pPr>
                    <w:shd w:val="clear" w:color="auto" w:fill="FFFFFF"/>
                    <w:tabs>
                      <w:tab w:val="left" w:pos="2670"/>
                    </w:tabs>
                    <w:spacing w:before="62" w:beforeLines="20" w:after="62" w:afterLines="20"/>
                    <w:jc w:val="center"/>
                    <w:rPr>
                      <w:rFonts w:ascii="Times New Roman" w:hAnsi="Times New Roman"/>
                      <w:szCs w:val="21"/>
                    </w:rPr>
                  </w:pPr>
                  <w:r>
                    <w:rPr>
                      <w:rFonts w:ascii="Times New Roman" w:hAnsi="Times New Roman"/>
                      <w:szCs w:val="21"/>
                    </w:rPr>
                    <w:t>第一次</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0.85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0.91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0.130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0.147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continue"/>
                  <w:vAlign w:val="center"/>
                </w:tcPr>
                <w:p>
                  <w:pPr>
                    <w:shd w:val="clear" w:color="auto" w:fill="FFFFFF"/>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第二次</w:t>
                  </w:r>
                </w:p>
              </w:tc>
              <w:tc>
                <w:tcPr>
                  <w:tcW w:w="1428" w:type="dxa"/>
                  <w:vAlign w:val="center"/>
                </w:tcPr>
                <w:p>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 xml:space="preserve">0.86 </w:t>
                  </w:r>
                </w:p>
              </w:tc>
              <w:tc>
                <w:tcPr>
                  <w:tcW w:w="1428" w:type="dxa"/>
                  <w:vAlign w:val="center"/>
                </w:tcPr>
                <w:p>
                  <w:pPr>
                    <w:widowControl/>
                    <w:jc w:val="center"/>
                    <w:textAlignment w:val="center"/>
                    <w:rPr>
                      <w:rFonts w:ascii="Times New Roman" w:hAnsi="Times New Roman"/>
                      <w:color w:val="000000"/>
                      <w:kern w:val="0"/>
                      <w:szCs w:val="21"/>
                      <w:lang w:bidi="ar"/>
                    </w:rPr>
                  </w:pPr>
                  <w:r>
                    <w:rPr>
                      <w:rFonts w:ascii="Times New Roman" w:hAnsi="Times New Roman"/>
                      <w:color w:val="000000"/>
                      <w:kern w:val="0"/>
                      <w:szCs w:val="21"/>
                      <w:lang w:bidi="ar"/>
                    </w:rPr>
                    <w:t xml:space="preserve">0.82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0.147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0.148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continue"/>
                  <w:vAlign w:val="center"/>
                </w:tcPr>
                <w:p>
                  <w:pPr>
                    <w:shd w:val="clear" w:color="auto" w:fill="FFFFFF"/>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第三次</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0.90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0.90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0.147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0.148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31" w:type="dxa"/>
                  <w:vMerge w:val="continue"/>
                  <w:vAlign w:val="center"/>
                </w:tcPr>
                <w:p>
                  <w:pPr>
                    <w:shd w:val="clear" w:color="auto" w:fill="FFFFFF"/>
                    <w:spacing w:before="62" w:beforeLines="20" w:after="62" w:afterLines="20"/>
                    <w:jc w:val="center"/>
                    <w:rPr>
                      <w:rFonts w:ascii="Times New Roman" w:hAnsi="Times New Roman"/>
                      <w:szCs w:val="21"/>
                    </w:rPr>
                  </w:pPr>
                </w:p>
              </w:tc>
              <w:tc>
                <w:tcPr>
                  <w:tcW w:w="1425" w:type="dxa"/>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第四次</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0.83 </w:t>
                  </w:r>
                </w:p>
              </w:tc>
              <w:tc>
                <w:tcPr>
                  <w:tcW w:w="1428" w:type="dxa"/>
                  <w:vAlign w:val="center"/>
                </w:tcPr>
                <w:p>
                  <w:pPr>
                    <w:widowControl/>
                    <w:jc w:val="center"/>
                    <w:textAlignment w:val="center"/>
                    <w:rPr>
                      <w:rFonts w:ascii="Times New Roman" w:hAnsi="Times New Roman"/>
                      <w:kern w:val="0"/>
                      <w:szCs w:val="21"/>
                      <w:lang w:bidi="ar"/>
                    </w:rPr>
                  </w:pPr>
                  <w:r>
                    <w:rPr>
                      <w:rFonts w:ascii="Times New Roman" w:hAnsi="Times New Roman"/>
                      <w:color w:val="000000"/>
                      <w:kern w:val="0"/>
                      <w:szCs w:val="21"/>
                      <w:lang w:bidi="ar"/>
                    </w:rPr>
                    <w:t xml:space="preserve">0.94 </w:t>
                  </w:r>
                </w:p>
              </w:tc>
              <w:tc>
                <w:tcPr>
                  <w:tcW w:w="1428"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0.131 </w:t>
                  </w:r>
                </w:p>
              </w:tc>
              <w:tc>
                <w:tcPr>
                  <w:tcW w:w="1431" w:type="dxa"/>
                  <w:vAlign w:val="center"/>
                </w:tcPr>
                <w:p>
                  <w:pPr>
                    <w:widowControl/>
                    <w:jc w:val="center"/>
                    <w:textAlignment w:val="center"/>
                    <w:rPr>
                      <w:rFonts w:ascii="Times New Roman" w:hAnsi="Times New Roman" w:eastAsia="微软雅黑"/>
                      <w:kern w:val="0"/>
                      <w:szCs w:val="21"/>
                      <w:lang w:bidi="ar"/>
                    </w:rPr>
                  </w:pPr>
                  <w:r>
                    <w:rPr>
                      <w:rFonts w:ascii="Times New Roman" w:hAnsi="Times New Roman" w:eastAsia="微软雅黑"/>
                      <w:color w:val="000000"/>
                      <w:kern w:val="0"/>
                      <w:szCs w:val="21"/>
                      <w:lang w:bidi="ar"/>
                    </w:rPr>
                    <w:t xml:space="preserve">0.132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356" w:type="dxa"/>
                  <w:gridSpan w:val="2"/>
                  <w:vAlign w:val="center"/>
                </w:tcPr>
                <w:p>
                  <w:pPr>
                    <w:shd w:val="clear" w:color="auto" w:fill="FFFFFF"/>
                    <w:spacing w:before="62" w:beforeLines="20" w:after="62" w:afterLines="20"/>
                    <w:jc w:val="center"/>
                    <w:rPr>
                      <w:rFonts w:ascii="Times New Roman" w:hAnsi="Times New Roman"/>
                      <w:szCs w:val="21"/>
                    </w:rPr>
                  </w:pPr>
                  <w:r>
                    <w:rPr>
                      <w:rFonts w:ascii="Times New Roman" w:hAnsi="Times New Roman"/>
                      <w:szCs w:val="21"/>
                    </w:rPr>
                    <w:t>单位</w:t>
                  </w:r>
                </w:p>
              </w:tc>
              <w:tc>
                <w:tcPr>
                  <w:tcW w:w="2856" w:type="dxa"/>
                  <w:gridSpan w:val="2"/>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mg/m</w:t>
                  </w:r>
                  <w:r>
                    <w:rPr>
                      <w:rFonts w:ascii="Times New Roman" w:hAnsi="Times New Roman"/>
                      <w:kern w:val="0"/>
                      <w:szCs w:val="21"/>
                      <w:vertAlign w:val="superscript"/>
                      <w:lang w:bidi="ar"/>
                    </w:rPr>
                    <w:t>3</w:t>
                  </w:r>
                </w:p>
              </w:tc>
              <w:tc>
                <w:tcPr>
                  <w:tcW w:w="2859" w:type="dxa"/>
                  <w:gridSpan w:val="2"/>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mg/m</w:t>
                  </w:r>
                  <w:r>
                    <w:rPr>
                      <w:rFonts w:ascii="Times New Roman" w:hAnsi="Times New Roman"/>
                      <w:kern w:val="0"/>
                      <w:szCs w:val="21"/>
                      <w:vertAlign w:val="superscript"/>
                      <w:lang w:bidi="ar"/>
                    </w:rPr>
                    <w:t>3</w:t>
                  </w:r>
                </w:p>
              </w:tc>
            </w:tr>
          </w:tbl>
          <w:p>
            <w:pPr>
              <w:pStyle w:val="2"/>
              <w:spacing w:before="156" w:beforeLines="50" w:line="360" w:lineRule="auto"/>
              <w:ind w:firstLine="482" w:firstLineChars="200"/>
              <w:jc w:val="both"/>
              <w:rPr>
                <w:rFonts w:ascii="Times New Roman" w:hAnsi="Times New Roman" w:eastAsiaTheme="minorEastAsia"/>
                <w:b/>
                <w:bCs/>
                <w:color w:val="auto"/>
              </w:rPr>
            </w:pPr>
            <w:r>
              <w:rPr>
                <w:rFonts w:ascii="Times New Roman" w:hAnsi="Times New Roman" w:eastAsiaTheme="minorEastAsia"/>
                <w:b/>
                <w:bCs/>
                <w:color w:val="auto"/>
              </w:rPr>
              <w:t>二、噪声</w:t>
            </w:r>
          </w:p>
          <w:p>
            <w:pPr>
              <w:pStyle w:val="2"/>
              <w:spacing w:before="156" w:beforeLines="50" w:line="360" w:lineRule="auto"/>
              <w:ind w:firstLine="480" w:firstLineChars="200"/>
              <w:jc w:val="both"/>
              <w:rPr>
                <w:rFonts w:ascii="Times New Roman" w:hAnsi="Times New Roman" w:eastAsiaTheme="minorEastAsia"/>
                <w:color w:val="auto"/>
              </w:rPr>
            </w:pPr>
            <w:r>
              <w:rPr>
                <w:rFonts w:ascii="Times New Roman" w:hAnsi="Times New Roman" w:eastAsiaTheme="minorEastAsia"/>
                <w:color w:val="auto"/>
              </w:rPr>
              <w:t>厂界噪声监测结果见表7-3。</w:t>
            </w:r>
          </w:p>
          <w:p>
            <w:pPr>
              <w:pStyle w:val="2"/>
              <w:spacing w:line="360" w:lineRule="auto"/>
              <w:ind w:firstLine="480" w:firstLineChars="200"/>
              <w:jc w:val="both"/>
              <w:rPr>
                <w:rFonts w:ascii="Times New Roman" w:hAnsi="Times New Roman" w:eastAsiaTheme="minorEastAsia"/>
                <w:b/>
                <w:bCs/>
                <w:color w:val="auto"/>
              </w:rPr>
            </w:pPr>
            <w:r>
              <w:rPr>
                <w:rFonts w:ascii="Times New Roman" w:hAnsi="Times New Roman" w:eastAsiaTheme="minorEastAsia"/>
                <w:color w:val="auto"/>
              </w:rPr>
              <w:t>噪声监测结果表明：验收监测期间，厂界西侧噪声昼间最大监测结果为51dB（A），夜间最大监测结果为41dB（A），满足《工业企业厂界环境噪声排放标准》（GB12348-2008）中4类标准；</w:t>
            </w:r>
            <w:r>
              <w:rPr>
                <w:rFonts w:ascii="Times New Roman" w:hAnsi="Times New Roman" w:eastAsiaTheme="minorEastAsia"/>
                <w:color w:val="auto"/>
                <w:szCs w:val="21"/>
              </w:rPr>
              <w:t>其余侧</w:t>
            </w:r>
            <w:r>
              <w:rPr>
                <w:rFonts w:ascii="Times New Roman" w:hAnsi="Times New Roman" w:eastAsiaTheme="minorEastAsia"/>
                <w:color w:val="auto"/>
              </w:rPr>
              <w:t>厂界噪声昼间最大监测结果为53dB（A），夜间最大监测结果为43dB（A），满足《工业企业厂界环境噪声排放标准》（GB12348-2008）中3类标准。</w:t>
            </w:r>
          </w:p>
          <w:p>
            <w:pPr>
              <w:spacing w:before="156" w:beforeLines="50"/>
              <w:jc w:val="center"/>
              <w:rPr>
                <w:rFonts w:ascii="Times New Roman" w:hAnsi="Times New Roman" w:eastAsiaTheme="minorEastAsia"/>
                <w:sz w:val="24"/>
              </w:rPr>
            </w:pPr>
            <w:r>
              <w:rPr>
                <w:rFonts w:ascii="Times New Roman" w:hAnsi="Times New Roman" w:eastAsiaTheme="minorEastAsia"/>
                <w:b/>
                <w:bCs/>
                <w:sz w:val="24"/>
              </w:rPr>
              <w:t>表7-3噪声监测结果单位：dB（A</w:t>
            </w:r>
            <w:r>
              <w:rPr>
                <w:rFonts w:ascii="Times New Roman" w:hAnsi="Times New Roman" w:eastAsiaTheme="minorEastAsia"/>
                <w:sz w:val="24"/>
              </w:rPr>
              <w:t>）</w:t>
            </w:r>
          </w:p>
          <w:tbl>
            <w:tblPr>
              <w:tblStyle w:val="21"/>
              <w:tblW w:w="90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39"/>
              <w:gridCol w:w="841"/>
              <w:gridCol w:w="841"/>
              <w:gridCol w:w="841"/>
              <w:gridCol w:w="841"/>
              <w:gridCol w:w="841"/>
              <w:gridCol w:w="842"/>
              <w:gridCol w:w="842"/>
              <w:gridCol w:w="8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blHeader/>
                <w:jc w:val="center"/>
              </w:trPr>
              <w:tc>
                <w:tcPr>
                  <w:tcW w:w="2266" w:type="dxa"/>
                  <w:vMerge w:val="restart"/>
                  <w:vAlign w:val="center"/>
                </w:tcPr>
                <w:p>
                  <w:pPr>
                    <w:widowControl/>
                    <w:snapToGrid w:val="0"/>
                    <w:jc w:val="center"/>
                    <w:textAlignment w:val="center"/>
                    <w:rPr>
                      <w:rFonts w:ascii="Times New Roman" w:hAnsi="Times New Roman"/>
                      <w:szCs w:val="21"/>
                    </w:rPr>
                  </w:pPr>
                  <w:r>
                    <w:rPr>
                      <w:rFonts w:ascii="Times New Roman" w:hAnsi="Times New Roman"/>
                      <w:szCs w:val="21"/>
                    </w:rPr>
                    <w:t>采样点位</w:t>
                  </w:r>
                </w:p>
              </w:tc>
              <w:tc>
                <w:tcPr>
                  <w:tcW w:w="6521" w:type="dxa"/>
                  <w:gridSpan w:val="8"/>
                  <w:vAlign w:val="center"/>
                </w:tcPr>
                <w:p>
                  <w:pPr>
                    <w:snapToGrid w:val="0"/>
                    <w:jc w:val="center"/>
                    <w:rPr>
                      <w:rFonts w:ascii="Times New Roman" w:hAnsi="Times New Roman"/>
                      <w:szCs w:val="21"/>
                    </w:rPr>
                  </w:pPr>
                  <w:r>
                    <w:rPr>
                      <w:rFonts w:ascii="Times New Roman" w:hAnsi="Times New Roman"/>
                      <w:szCs w:val="21"/>
                    </w:rPr>
                    <w:t>检测结果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66" w:type="dxa"/>
                  <w:vMerge w:val="continue"/>
                  <w:vAlign w:val="center"/>
                </w:tcPr>
                <w:p>
                  <w:pPr>
                    <w:widowControl/>
                    <w:snapToGrid w:val="0"/>
                    <w:jc w:val="center"/>
                    <w:textAlignment w:val="center"/>
                    <w:rPr>
                      <w:rFonts w:ascii="Times New Roman" w:hAnsi="Times New Roman"/>
                      <w:szCs w:val="21"/>
                    </w:rPr>
                  </w:pPr>
                </w:p>
              </w:tc>
              <w:tc>
                <w:tcPr>
                  <w:tcW w:w="3260" w:type="dxa"/>
                  <w:gridSpan w:val="4"/>
                  <w:vAlign w:val="center"/>
                </w:tcPr>
                <w:p>
                  <w:pPr>
                    <w:spacing w:before="62" w:beforeLines="20" w:after="62" w:afterLines="20"/>
                    <w:jc w:val="center"/>
                    <w:rPr>
                      <w:rFonts w:ascii="Times New Roman" w:hAnsi="Times New Roman"/>
                      <w:szCs w:val="21"/>
                    </w:rPr>
                  </w:pPr>
                  <w:r>
                    <w:rPr>
                      <w:rFonts w:ascii="Times New Roman" w:hAnsi="Times New Roman"/>
                      <w:szCs w:val="21"/>
                    </w:rPr>
                    <w:t>2022.12.18</w:t>
                  </w:r>
                </w:p>
              </w:tc>
              <w:tc>
                <w:tcPr>
                  <w:tcW w:w="3261" w:type="dxa"/>
                  <w:gridSpan w:val="4"/>
                  <w:vAlign w:val="center"/>
                </w:tcPr>
                <w:p>
                  <w:pPr>
                    <w:spacing w:before="62" w:beforeLines="20" w:after="62" w:afterLines="20"/>
                    <w:jc w:val="center"/>
                    <w:rPr>
                      <w:rFonts w:ascii="Times New Roman" w:hAnsi="Times New Roman"/>
                      <w:szCs w:val="21"/>
                    </w:rPr>
                  </w:pPr>
                  <w:r>
                    <w:rPr>
                      <w:rFonts w:ascii="Times New Roman" w:hAnsi="Times New Roman"/>
                      <w:szCs w:val="21"/>
                    </w:rPr>
                    <w:t>2022.12.19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blHeader/>
                <w:jc w:val="center"/>
              </w:trPr>
              <w:tc>
                <w:tcPr>
                  <w:tcW w:w="2266" w:type="dxa"/>
                  <w:vMerge w:val="continue"/>
                  <w:vAlign w:val="center"/>
                </w:tcPr>
                <w:p>
                  <w:pPr>
                    <w:widowControl/>
                    <w:snapToGrid w:val="0"/>
                    <w:jc w:val="center"/>
                    <w:textAlignment w:val="center"/>
                    <w:rPr>
                      <w:rFonts w:ascii="Times New Roman" w:hAnsi="Times New Roman"/>
                      <w:szCs w:val="21"/>
                    </w:rPr>
                  </w:pPr>
                </w:p>
              </w:tc>
              <w:tc>
                <w:tcPr>
                  <w:tcW w:w="1630" w:type="dxa"/>
                  <w:gridSpan w:val="2"/>
                  <w:vAlign w:val="center"/>
                </w:tcPr>
                <w:p>
                  <w:pPr>
                    <w:snapToGrid w:val="0"/>
                    <w:jc w:val="center"/>
                    <w:rPr>
                      <w:rFonts w:ascii="Times New Roman" w:hAnsi="Times New Roman"/>
                      <w:szCs w:val="21"/>
                    </w:rPr>
                  </w:pPr>
                  <w:r>
                    <w:rPr>
                      <w:rFonts w:ascii="Times New Roman" w:hAnsi="Times New Roman"/>
                      <w:szCs w:val="21"/>
                    </w:rPr>
                    <w:t>昼间dB（A）</w:t>
                  </w:r>
                </w:p>
              </w:tc>
              <w:tc>
                <w:tcPr>
                  <w:tcW w:w="1630" w:type="dxa"/>
                  <w:gridSpan w:val="2"/>
                  <w:vAlign w:val="center"/>
                </w:tcPr>
                <w:p>
                  <w:pPr>
                    <w:snapToGrid w:val="0"/>
                    <w:jc w:val="center"/>
                    <w:rPr>
                      <w:rFonts w:ascii="Times New Roman" w:hAnsi="Times New Roman"/>
                      <w:szCs w:val="21"/>
                    </w:rPr>
                  </w:pPr>
                  <w:r>
                    <w:rPr>
                      <w:rFonts w:ascii="Times New Roman" w:hAnsi="Times New Roman"/>
                      <w:szCs w:val="21"/>
                    </w:rPr>
                    <w:t>夜间dB（A）</w:t>
                  </w:r>
                </w:p>
              </w:tc>
              <w:tc>
                <w:tcPr>
                  <w:tcW w:w="1630" w:type="dxa"/>
                  <w:gridSpan w:val="2"/>
                  <w:vAlign w:val="center"/>
                </w:tcPr>
                <w:p>
                  <w:pPr>
                    <w:snapToGrid w:val="0"/>
                    <w:jc w:val="center"/>
                    <w:rPr>
                      <w:rFonts w:ascii="Times New Roman" w:hAnsi="Times New Roman"/>
                      <w:szCs w:val="21"/>
                    </w:rPr>
                  </w:pPr>
                  <w:r>
                    <w:rPr>
                      <w:rFonts w:ascii="Times New Roman" w:hAnsi="Times New Roman"/>
                      <w:szCs w:val="21"/>
                    </w:rPr>
                    <w:t>昼间dB（A）</w:t>
                  </w:r>
                </w:p>
              </w:tc>
              <w:tc>
                <w:tcPr>
                  <w:tcW w:w="1631" w:type="dxa"/>
                  <w:gridSpan w:val="2"/>
                  <w:vAlign w:val="center"/>
                </w:tcPr>
                <w:p>
                  <w:pPr>
                    <w:snapToGrid w:val="0"/>
                    <w:jc w:val="center"/>
                    <w:rPr>
                      <w:rFonts w:ascii="Times New Roman" w:hAnsi="Times New Roman"/>
                      <w:szCs w:val="21"/>
                    </w:rPr>
                  </w:pPr>
                  <w:r>
                    <w:rPr>
                      <w:rFonts w:ascii="Times New Roman" w:hAnsi="Times New Roman"/>
                      <w:szCs w:val="21"/>
                    </w:rPr>
                    <w:t>夜间dB（A）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2266" w:type="dxa"/>
                  <w:vAlign w:val="center"/>
                </w:tcPr>
                <w:p>
                  <w:pPr>
                    <w:pStyle w:val="70"/>
                    <w:widowControl/>
                    <w:autoSpaceDE w:val="0"/>
                    <w:autoSpaceDN w:val="0"/>
                    <w:adjustRightInd/>
                    <w:spacing w:line="240" w:lineRule="auto"/>
                    <w:jc w:val="center"/>
                    <w:textAlignment w:val="bottom"/>
                    <w:rPr>
                      <w:rFonts w:ascii="Times New Roman"/>
                      <w:sz w:val="21"/>
                      <w:szCs w:val="21"/>
                    </w:rPr>
                  </w:pPr>
                  <w:r>
                    <w:rPr>
                      <w:rFonts w:ascii="Times New Roman"/>
                      <w:spacing w:val="20"/>
                      <w:sz w:val="21"/>
                      <w:szCs w:val="21"/>
                    </w:rPr>
                    <w:t>▲1</w:t>
                  </w:r>
                  <w:r>
                    <w:rPr>
                      <w:rFonts w:ascii="Times New Roman"/>
                      <w:kern w:val="0"/>
                      <w:sz w:val="21"/>
                      <w:szCs w:val="21"/>
                    </w:rPr>
                    <w:t>#</w:t>
                  </w:r>
                  <w:r>
                    <w:rPr>
                      <w:rFonts w:ascii="Times New Roman"/>
                      <w:spacing w:val="20"/>
                      <w:sz w:val="21"/>
                      <w:szCs w:val="21"/>
                    </w:rPr>
                    <w:t>东侧厂界外1m</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51</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52</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40</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39</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52</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51</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42</w:t>
                  </w:r>
                </w:p>
              </w:tc>
              <w:tc>
                <w:tcPr>
                  <w:tcW w:w="816"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6" w:type="dxa"/>
                  <w:vAlign w:val="center"/>
                </w:tcPr>
                <w:p>
                  <w:pPr>
                    <w:pStyle w:val="70"/>
                    <w:autoSpaceDE w:val="0"/>
                    <w:autoSpaceDN w:val="0"/>
                    <w:adjustRightInd/>
                    <w:spacing w:line="240" w:lineRule="auto"/>
                    <w:jc w:val="center"/>
                    <w:textAlignment w:val="bottom"/>
                    <w:rPr>
                      <w:rFonts w:ascii="Times New Roman"/>
                      <w:sz w:val="21"/>
                      <w:szCs w:val="21"/>
                    </w:rPr>
                  </w:pPr>
                  <w:r>
                    <w:rPr>
                      <w:rFonts w:ascii="Times New Roman"/>
                      <w:spacing w:val="20"/>
                      <w:sz w:val="21"/>
                      <w:szCs w:val="21"/>
                    </w:rPr>
                    <w:t>▲2</w:t>
                  </w:r>
                  <w:r>
                    <w:rPr>
                      <w:rFonts w:ascii="Times New Roman"/>
                      <w:kern w:val="0"/>
                      <w:sz w:val="21"/>
                      <w:szCs w:val="21"/>
                    </w:rPr>
                    <w:t>#</w:t>
                  </w:r>
                  <w:r>
                    <w:rPr>
                      <w:rFonts w:ascii="Times New Roman"/>
                      <w:spacing w:val="20"/>
                      <w:sz w:val="21"/>
                      <w:szCs w:val="21"/>
                    </w:rPr>
                    <w:t>南侧厂界外1m</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52</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53</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42</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41</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50</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51</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41</w:t>
                  </w:r>
                </w:p>
              </w:tc>
              <w:tc>
                <w:tcPr>
                  <w:tcW w:w="816"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2266" w:type="dxa"/>
                  <w:vAlign w:val="center"/>
                </w:tcPr>
                <w:p>
                  <w:pPr>
                    <w:pStyle w:val="70"/>
                    <w:autoSpaceDE w:val="0"/>
                    <w:autoSpaceDN w:val="0"/>
                    <w:adjustRightInd/>
                    <w:spacing w:line="240" w:lineRule="auto"/>
                    <w:jc w:val="center"/>
                    <w:textAlignment w:val="bottom"/>
                    <w:rPr>
                      <w:rFonts w:ascii="Times New Roman"/>
                      <w:sz w:val="21"/>
                      <w:szCs w:val="21"/>
                    </w:rPr>
                  </w:pPr>
                  <w:r>
                    <w:rPr>
                      <w:rFonts w:ascii="Times New Roman"/>
                      <w:spacing w:val="20"/>
                      <w:sz w:val="21"/>
                      <w:szCs w:val="21"/>
                    </w:rPr>
                    <w:t>▲3</w:t>
                  </w:r>
                  <w:r>
                    <w:rPr>
                      <w:rFonts w:ascii="Times New Roman"/>
                      <w:kern w:val="0"/>
                      <w:sz w:val="21"/>
                      <w:szCs w:val="21"/>
                    </w:rPr>
                    <w:t>#</w:t>
                  </w:r>
                  <w:r>
                    <w:rPr>
                      <w:rFonts w:ascii="Times New Roman"/>
                      <w:spacing w:val="20"/>
                      <w:sz w:val="21"/>
                      <w:szCs w:val="21"/>
                    </w:rPr>
                    <w:t>西侧厂界外1m</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50</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50</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41</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40</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51</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50</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40</w:t>
                  </w:r>
                </w:p>
              </w:tc>
              <w:tc>
                <w:tcPr>
                  <w:tcW w:w="816"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2266" w:type="dxa"/>
                  <w:vAlign w:val="center"/>
                </w:tcPr>
                <w:p>
                  <w:pPr>
                    <w:pStyle w:val="70"/>
                    <w:autoSpaceDE w:val="0"/>
                    <w:autoSpaceDN w:val="0"/>
                    <w:adjustRightInd/>
                    <w:spacing w:line="240" w:lineRule="auto"/>
                    <w:jc w:val="center"/>
                    <w:textAlignment w:val="bottom"/>
                    <w:rPr>
                      <w:rFonts w:ascii="Times New Roman"/>
                      <w:sz w:val="21"/>
                      <w:szCs w:val="21"/>
                    </w:rPr>
                  </w:pPr>
                  <w:r>
                    <w:rPr>
                      <w:rFonts w:ascii="Times New Roman"/>
                      <w:spacing w:val="20"/>
                      <w:sz w:val="21"/>
                      <w:szCs w:val="21"/>
                    </w:rPr>
                    <w:t>▲4</w:t>
                  </w:r>
                  <w:r>
                    <w:rPr>
                      <w:rFonts w:ascii="Times New Roman"/>
                      <w:kern w:val="0"/>
                      <w:sz w:val="21"/>
                      <w:szCs w:val="21"/>
                    </w:rPr>
                    <w:t>#</w:t>
                  </w:r>
                  <w:r>
                    <w:rPr>
                      <w:rFonts w:ascii="Times New Roman"/>
                      <w:spacing w:val="20"/>
                      <w:sz w:val="21"/>
                      <w:szCs w:val="21"/>
                    </w:rPr>
                    <w:t>北侧厂界外1m</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53</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53</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43</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42</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52</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53</w:t>
                  </w:r>
                </w:p>
              </w:tc>
              <w:tc>
                <w:tcPr>
                  <w:tcW w:w="815"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42</w:t>
                  </w:r>
                </w:p>
              </w:tc>
              <w:tc>
                <w:tcPr>
                  <w:tcW w:w="816" w:type="dxa"/>
                  <w:vAlign w:val="center"/>
                </w:tcPr>
                <w:p>
                  <w:pPr>
                    <w:widowControl/>
                    <w:jc w:val="center"/>
                    <w:textAlignment w:val="center"/>
                    <w:rPr>
                      <w:rFonts w:ascii="Times New Roman" w:hAnsi="Times New Roman"/>
                      <w:szCs w:val="21"/>
                    </w:rPr>
                  </w:pPr>
                  <w:r>
                    <w:rPr>
                      <w:rFonts w:ascii="Times New Roman" w:hAnsi="Times New Roman"/>
                      <w:color w:val="000000"/>
                      <w:kern w:val="0"/>
                      <w:szCs w:val="21"/>
                      <w:lang w:bidi="ar"/>
                    </w:rPr>
                    <w:t>42</w:t>
                  </w:r>
                </w:p>
              </w:tc>
            </w:tr>
          </w:tbl>
          <w:p>
            <w:pPr>
              <w:pStyle w:val="2"/>
              <w:spacing w:before="156" w:beforeLines="50" w:line="360" w:lineRule="auto"/>
              <w:ind w:firstLine="482" w:firstLineChars="200"/>
              <w:jc w:val="both"/>
              <w:rPr>
                <w:rFonts w:ascii="Times New Roman" w:hAnsi="Times New Roman" w:eastAsiaTheme="minorEastAsia"/>
                <w:b/>
                <w:bCs/>
                <w:color w:val="auto"/>
              </w:rPr>
            </w:pPr>
            <w:r>
              <w:rPr>
                <w:rFonts w:ascii="Times New Roman" w:hAnsi="Times New Roman" w:eastAsiaTheme="minorEastAsia"/>
                <w:b/>
                <w:bCs/>
                <w:color w:val="auto"/>
              </w:rPr>
              <w:t>三、废水</w:t>
            </w:r>
          </w:p>
          <w:p>
            <w:pPr>
              <w:pStyle w:val="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color w:val="auto"/>
              </w:rPr>
              <w:t>废水监测结果见表7-4。</w:t>
            </w:r>
          </w:p>
          <w:p>
            <w:pPr>
              <w:pStyle w:val="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color w:val="auto"/>
              </w:rPr>
              <w:t>废水监测结果表明：验收监测期间，污水总排放口化学需氧量最大浓度为176mg/L，五日生化需氧量最大浓度为42.6mg/L，氨氮最大浓度为16.0mg/L，悬浮物最大浓度为53mg/L，满足《污水综合排放标准》（GB8979-1996）中的三级标准。</w:t>
            </w:r>
          </w:p>
          <w:p>
            <w:pPr>
              <w:spacing w:before="156" w:beforeLines="50"/>
              <w:jc w:val="center"/>
              <w:rPr>
                <w:rFonts w:ascii="Times New Roman" w:hAnsi="Times New Roman" w:eastAsiaTheme="minorEastAsia"/>
                <w:b/>
                <w:bCs/>
                <w:sz w:val="24"/>
              </w:rPr>
            </w:pPr>
            <w:r>
              <w:rPr>
                <w:rFonts w:ascii="Times New Roman" w:hAnsi="Times New Roman" w:eastAsiaTheme="minorEastAsia"/>
                <w:b/>
                <w:bCs/>
                <w:sz w:val="24"/>
              </w:rPr>
              <w:t>表7-4污水检测结果</w:t>
            </w:r>
          </w:p>
          <w:tbl>
            <w:tblPr>
              <w:tblStyle w:val="21"/>
              <w:tblW w:w="90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188"/>
              <w:gridCol w:w="1388"/>
              <w:gridCol w:w="952"/>
              <w:gridCol w:w="1130"/>
              <w:gridCol w:w="1130"/>
              <w:gridCol w:w="1131"/>
              <w:gridCol w:w="11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0" w:hRule="atLeast"/>
                <w:tblHeader/>
                <w:jc w:val="center"/>
              </w:trPr>
              <w:tc>
                <w:tcPr>
                  <w:tcW w:w="993" w:type="dxa"/>
                  <w:vMerge w:val="restart"/>
                  <w:vAlign w:val="center"/>
                </w:tcPr>
                <w:p>
                  <w:pPr>
                    <w:jc w:val="center"/>
                    <w:rPr>
                      <w:rFonts w:ascii="Times New Roman" w:hAnsi="Times New Roman"/>
                      <w:color w:val="000000"/>
                      <w:spacing w:val="-11"/>
                      <w:szCs w:val="21"/>
                    </w:rPr>
                  </w:pPr>
                  <w:r>
                    <w:rPr>
                      <w:rFonts w:ascii="Times New Roman" w:hAnsi="Times New Roman"/>
                      <w:bCs/>
                      <w:color w:val="000000"/>
                      <w:spacing w:val="-11"/>
                      <w:szCs w:val="21"/>
                    </w:rPr>
                    <w:t>采样地点</w:t>
                  </w:r>
                </w:p>
              </w:tc>
              <w:tc>
                <w:tcPr>
                  <w:tcW w:w="1189" w:type="dxa"/>
                  <w:vMerge w:val="restart"/>
                  <w:vAlign w:val="center"/>
                </w:tcPr>
                <w:p>
                  <w:pPr>
                    <w:jc w:val="center"/>
                    <w:rPr>
                      <w:rFonts w:ascii="Times New Roman" w:hAnsi="Times New Roman"/>
                      <w:color w:val="000000"/>
                      <w:spacing w:val="-11"/>
                      <w:szCs w:val="21"/>
                    </w:rPr>
                  </w:pPr>
                  <w:r>
                    <w:rPr>
                      <w:rFonts w:ascii="Times New Roman" w:hAnsi="Times New Roman"/>
                      <w:szCs w:val="21"/>
                    </w:rPr>
                    <w:t>采样日期</w:t>
                  </w:r>
                </w:p>
              </w:tc>
              <w:tc>
                <w:tcPr>
                  <w:tcW w:w="1396" w:type="dxa"/>
                  <w:vMerge w:val="restart"/>
                  <w:vAlign w:val="center"/>
                </w:tcPr>
                <w:p>
                  <w:pPr>
                    <w:jc w:val="center"/>
                    <w:rPr>
                      <w:rFonts w:ascii="Times New Roman" w:hAnsi="Times New Roman"/>
                      <w:color w:val="000000"/>
                      <w:spacing w:val="-11"/>
                      <w:szCs w:val="21"/>
                    </w:rPr>
                  </w:pPr>
                  <w:r>
                    <w:rPr>
                      <w:rFonts w:ascii="Times New Roman" w:hAnsi="Times New Roman"/>
                      <w:bCs/>
                      <w:color w:val="000000"/>
                      <w:spacing w:val="-11"/>
                      <w:szCs w:val="21"/>
                    </w:rPr>
                    <w:t>检测项目</w:t>
                  </w:r>
                </w:p>
              </w:tc>
              <w:tc>
                <w:tcPr>
                  <w:tcW w:w="4358" w:type="dxa"/>
                  <w:gridSpan w:val="4"/>
                  <w:vAlign w:val="center"/>
                </w:tcPr>
                <w:p>
                  <w:pPr>
                    <w:jc w:val="center"/>
                    <w:rPr>
                      <w:rFonts w:ascii="Times New Roman" w:hAnsi="Times New Roman"/>
                      <w:color w:val="000000"/>
                      <w:szCs w:val="21"/>
                    </w:rPr>
                  </w:pPr>
                  <w:r>
                    <w:rPr>
                      <w:rFonts w:ascii="Times New Roman" w:hAnsi="Times New Roman"/>
                      <w:color w:val="000000"/>
                      <w:szCs w:val="21"/>
                    </w:rPr>
                    <w:t>检测结果</w:t>
                  </w:r>
                </w:p>
              </w:tc>
              <w:tc>
                <w:tcPr>
                  <w:tcW w:w="1135" w:type="dxa"/>
                  <w:vMerge w:val="restart"/>
                  <w:vAlign w:val="center"/>
                </w:tcPr>
                <w:p>
                  <w:pPr>
                    <w:jc w:val="center"/>
                    <w:rPr>
                      <w:rFonts w:ascii="Times New Roman" w:hAnsi="Times New Roman"/>
                      <w:color w:val="000000"/>
                      <w:szCs w:val="21"/>
                    </w:rPr>
                  </w:pPr>
                  <w:r>
                    <w:rPr>
                      <w:rFonts w:ascii="Times New Roman" w:hAnsi="Times New Roman"/>
                      <w:color w:val="000000"/>
                      <w:szCs w:val="21"/>
                    </w:rPr>
                    <w:t>单位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993" w:type="dxa"/>
                  <w:vMerge w:val="continue"/>
                  <w:vAlign w:val="center"/>
                </w:tcPr>
                <w:p>
                  <w:pPr>
                    <w:jc w:val="center"/>
                    <w:rPr>
                      <w:rFonts w:ascii="Times New Roman" w:hAnsi="Times New Roman"/>
                      <w:bCs/>
                      <w:color w:val="000000"/>
                      <w:spacing w:val="-11"/>
                      <w:szCs w:val="21"/>
                    </w:rPr>
                  </w:pPr>
                </w:p>
              </w:tc>
              <w:tc>
                <w:tcPr>
                  <w:tcW w:w="1189" w:type="dxa"/>
                  <w:vMerge w:val="continue"/>
                  <w:vAlign w:val="center"/>
                </w:tcPr>
                <w:p>
                  <w:pPr>
                    <w:jc w:val="center"/>
                    <w:rPr>
                      <w:rFonts w:ascii="Times New Roman" w:hAnsi="Times New Roman"/>
                      <w:szCs w:val="21"/>
                    </w:rPr>
                  </w:pPr>
                </w:p>
              </w:tc>
              <w:tc>
                <w:tcPr>
                  <w:tcW w:w="1396" w:type="dxa"/>
                  <w:vMerge w:val="continue"/>
                  <w:vAlign w:val="center"/>
                </w:tcPr>
                <w:p>
                  <w:pPr>
                    <w:jc w:val="center"/>
                    <w:rPr>
                      <w:rFonts w:ascii="Times New Roman" w:hAnsi="Times New Roman"/>
                      <w:bCs/>
                      <w:color w:val="000000"/>
                      <w:spacing w:val="-11"/>
                      <w:szCs w:val="21"/>
                    </w:rPr>
                  </w:pPr>
                </w:p>
              </w:tc>
              <w:tc>
                <w:tcPr>
                  <w:tcW w:w="955" w:type="dxa"/>
                  <w:vAlign w:val="center"/>
                </w:tcPr>
                <w:p>
                  <w:pPr>
                    <w:jc w:val="center"/>
                    <w:rPr>
                      <w:rFonts w:ascii="Times New Roman" w:hAnsi="Times New Roman"/>
                      <w:color w:val="000000"/>
                      <w:szCs w:val="21"/>
                    </w:rPr>
                  </w:pPr>
                  <w:r>
                    <w:rPr>
                      <w:rFonts w:ascii="Times New Roman" w:hAnsi="Times New Roman"/>
                      <w:color w:val="000000"/>
                      <w:szCs w:val="21"/>
                    </w:rPr>
                    <w:t>第一次</w:t>
                  </w:r>
                </w:p>
              </w:tc>
              <w:tc>
                <w:tcPr>
                  <w:tcW w:w="1134" w:type="dxa"/>
                  <w:vAlign w:val="center"/>
                </w:tcPr>
                <w:p>
                  <w:pPr>
                    <w:jc w:val="center"/>
                    <w:rPr>
                      <w:rFonts w:ascii="Times New Roman" w:hAnsi="Times New Roman"/>
                      <w:color w:val="000000"/>
                      <w:szCs w:val="21"/>
                    </w:rPr>
                  </w:pPr>
                  <w:r>
                    <w:rPr>
                      <w:rFonts w:ascii="Times New Roman" w:hAnsi="Times New Roman"/>
                      <w:color w:val="000000"/>
                      <w:szCs w:val="21"/>
                    </w:rPr>
                    <w:t>第二次</w:t>
                  </w:r>
                </w:p>
              </w:tc>
              <w:tc>
                <w:tcPr>
                  <w:tcW w:w="1134" w:type="dxa"/>
                  <w:vAlign w:val="center"/>
                </w:tcPr>
                <w:p>
                  <w:pPr>
                    <w:jc w:val="center"/>
                    <w:rPr>
                      <w:rFonts w:ascii="Times New Roman" w:hAnsi="Times New Roman"/>
                      <w:color w:val="000000"/>
                      <w:szCs w:val="21"/>
                    </w:rPr>
                  </w:pPr>
                  <w:r>
                    <w:rPr>
                      <w:rFonts w:ascii="Times New Roman" w:hAnsi="Times New Roman"/>
                      <w:color w:val="000000"/>
                      <w:szCs w:val="21"/>
                    </w:rPr>
                    <w:t>第三次</w:t>
                  </w:r>
                </w:p>
              </w:tc>
              <w:tc>
                <w:tcPr>
                  <w:tcW w:w="1135" w:type="dxa"/>
                  <w:vAlign w:val="center"/>
                </w:tcPr>
                <w:p>
                  <w:pPr>
                    <w:jc w:val="center"/>
                    <w:rPr>
                      <w:rFonts w:ascii="Times New Roman" w:hAnsi="Times New Roman"/>
                      <w:color w:val="000000"/>
                      <w:szCs w:val="21"/>
                    </w:rPr>
                  </w:pPr>
                  <w:r>
                    <w:rPr>
                      <w:rFonts w:ascii="Times New Roman" w:hAnsi="Times New Roman"/>
                      <w:color w:val="000000"/>
                      <w:szCs w:val="21"/>
                    </w:rPr>
                    <w:t>第四次</w:t>
                  </w:r>
                </w:p>
              </w:tc>
              <w:tc>
                <w:tcPr>
                  <w:tcW w:w="1135" w:type="dxa"/>
                  <w:vMerge w:val="continue"/>
                  <w:vAlign w:val="center"/>
                </w:tcPr>
                <w:p>
                  <w:pPr>
                    <w:jc w:val="center"/>
                    <w:rPr>
                      <w:rFonts w:ascii="Times New Roman" w:hAnsi="Times New Roman"/>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0" w:hRule="atLeast"/>
                <w:jc w:val="center"/>
              </w:trPr>
              <w:tc>
                <w:tcPr>
                  <w:tcW w:w="993" w:type="dxa"/>
                  <w:vMerge w:val="restart"/>
                  <w:vAlign w:val="center"/>
                </w:tcPr>
                <w:p>
                  <w:pPr>
                    <w:pStyle w:val="28"/>
                    <w:rPr>
                      <w:rFonts w:ascii="Times New Roman" w:hAnsi="Times New Roman"/>
                      <w:bCs/>
                      <w:color w:val="FF0000"/>
                      <w:szCs w:val="21"/>
                    </w:rPr>
                  </w:pPr>
                  <w:r>
                    <w:rPr>
                      <w:rFonts w:ascii="Segoe UI Symbol" w:hAnsi="Segoe UI Symbol" w:cs="Segoe UI Symbol"/>
                      <w:szCs w:val="21"/>
                    </w:rPr>
                    <w:t>★</w:t>
                  </w:r>
                  <w:r>
                    <w:rPr>
                      <w:rFonts w:ascii="Times New Roman" w:hAnsi="Times New Roman"/>
                      <w:szCs w:val="21"/>
                    </w:rPr>
                    <w:t>1#污水总排口</w:t>
                  </w:r>
                </w:p>
              </w:tc>
              <w:tc>
                <w:tcPr>
                  <w:tcW w:w="1189" w:type="dxa"/>
                  <w:vMerge w:val="restart"/>
                  <w:vAlign w:val="center"/>
                </w:tcPr>
                <w:p>
                  <w:pPr>
                    <w:spacing w:before="62" w:beforeLines="20" w:after="62" w:afterLines="20"/>
                    <w:jc w:val="center"/>
                    <w:rPr>
                      <w:rFonts w:ascii="Times New Roman" w:hAnsi="Times New Roman"/>
                      <w:color w:val="000000"/>
                      <w:szCs w:val="21"/>
                    </w:rPr>
                  </w:pPr>
                  <w:r>
                    <w:rPr>
                      <w:rFonts w:ascii="Times New Roman" w:hAnsi="Times New Roman"/>
                      <w:szCs w:val="21"/>
                    </w:rPr>
                    <w:t>2022.12.18</w:t>
                  </w:r>
                </w:p>
              </w:tc>
              <w:tc>
                <w:tcPr>
                  <w:tcW w:w="1396" w:type="dxa"/>
                  <w:vAlign w:val="center"/>
                </w:tcPr>
                <w:p>
                  <w:pPr>
                    <w:jc w:val="center"/>
                    <w:rPr>
                      <w:rFonts w:ascii="Times New Roman" w:hAnsi="Times New Roman"/>
                      <w:szCs w:val="21"/>
                    </w:rPr>
                  </w:pPr>
                  <w:r>
                    <w:rPr>
                      <w:rFonts w:ascii="Times New Roman" w:hAnsi="Times New Roman"/>
                      <w:szCs w:val="21"/>
                    </w:rPr>
                    <w:t>化学需氧量</w:t>
                  </w:r>
                </w:p>
              </w:tc>
              <w:tc>
                <w:tcPr>
                  <w:tcW w:w="95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135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176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128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140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0" w:hRule="atLeast"/>
                <w:jc w:val="center"/>
              </w:trPr>
              <w:tc>
                <w:tcPr>
                  <w:tcW w:w="993" w:type="dxa"/>
                  <w:vMerge w:val="continue"/>
                  <w:vAlign w:val="center"/>
                </w:tcPr>
                <w:p>
                  <w:pPr>
                    <w:pStyle w:val="28"/>
                    <w:rPr>
                      <w:rFonts w:ascii="Times New Roman" w:hAnsi="Times New Roman"/>
                      <w:szCs w:val="21"/>
                    </w:rPr>
                  </w:pPr>
                </w:p>
              </w:tc>
              <w:tc>
                <w:tcPr>
                  <w:tcW w:w="1189" w:type="dxa"/>
                  <w:vMerge w:val="continue"/>
                  <w:vAlign w:val="center"/>
                </w:tcPr>
                <w:p>
                  <w:pPr>
                    <w:jc w:val="center"/>
                    <w:rPr>
                      <w:rFonts w:ascii="Times New Roman" w:hAnsi="Times New Roman"/>
                      <w:bCs/>
                      <w:szCs w:val="21"/>
                    </w:rPr>
                  </w:pPr>
                </w:p>
              </w:tc>
              <w:tc>
                <w:tcPr>
                  <w:tcW w:w="1396" w:type="dxa"/>
                  <w:vAlign w:val="center"/>
                </w:tcPr>
                <w:p>
                  <w:pPr>
                    <w:jc w:val="center"/>
                    <w:rPr>
                      <w:rFonts w:ascii="Times New Roman" w:hAnsi="Times New Roman"/>
                      <w:szCs w:val="21"/>
                    </w:rPr>
                  </w:pPr>
                  <w:r>
                    <w:rPr>
                      <w:rFonts w:ascii="Times New Roman" w:hAnsi="Times New Roman"/>
                      <w:szCs w:val="21"/>
                    </w:rPr>
                    <w:t>生化需氧量</w:t>
                  </w:r>
                </w:p>
              </w:tc>
              <w:tc>
                <w:tcPr>
                  <w:tcW w:w="955" w:type="dxa"/>
                  <w:vAlign w:val="center"/>
                </w:tcPr>
                <w:p>
                  <w:pPr>
                    <w:widowControl/>
                    <w:jc w:val="center"/>
                    <w:textAlignment w:val="center"/>
                    <w:rPr>
                      <w:rFonts w:ascii="Times New Roman" w:hAnsi="Times New Roman"/>
                      <w:szCs w:val="21"/>
                    </w:rPr>
                  </w:pPr>
                  <w:r>
                    <w:rPr>
                      <w:rFonts w:ascii="Times New Roman" w:hAnsi="Times New Roman"/>
                      <w:kern w:val="0"/>
                      <w:szCs w:val="21"/>
                      <w:lang w:bidi="ar"/>
                    </w:rPr>
                    <w:t xml:space="preserve">39.7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50.8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37.3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42.6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0" w:hRule="atLeast"/>
                <w:jc w:val="center"/>
              </w:trPr>
              <w:tc>
                <w:tcPr>
                  <w:tcW w:w="993" w:type="dxa"/>
                  <w:vMerge w:val="continue"/>
                  <w:vAlign w:val="center"/>
                </w:tcPr>
                <w:p>
                  <w:pPr>
                    <w:jc w:val="center"/>
                    <w:rPr>
                      <w:rFonts w:ascii="Times New Roman" w:hAnsi="Times New Roman"/>
                      <w:bCs/>
                      <w:color w:val="FF0000"/>
                      <w:szCs w:val="21"/>
                    </w:rPr>
                  </w:pPr>
                </w:p>
              </w:tc>
              <w:tc>
                <w:tcPr>
                  <w:tcW w:w="1189" w:type="dxa"/>
                  <w:vMerge w:val="continue"/>
                  <w:vAlign w:val="center"/>
                </w:tcPr>
                <w:p>
                  <w:pPr>
                    <w:jc w:val="center"/>
                    <w:rPr>
                      <w:rFonts w:ascii="Times New Roman" w:hAnsi="Times New Roman"/>
                      <w:color w:val="000000"/>
                      <w:szCs w:val="21"/>
                    </w:rPr>
                  </w:pPr>
                </w:p>
              </w:tc>
              <w:tc>
                <w:tcPr>
                  <w:tcW w:w="1396" w:type="dxa"/>
                  <w:vAlign w:val="center"/>
                </w:tcPr>
                <w:p>
                  <w:pPr>
                    <w:jc w:val="center"/>
                    <w:rPr>
                      <w:rFonts w:ascii="Times New Roman" w:hAnsi="Times New Roman"/>
                      <w:bCs/>
                      <w:color w:val="000000"/>
                      <w:szCs w:val="21"/>
                    </w:rPr>
                  </w:pPr>
                  <w:r>
                    <w:rPr>
                      <w:rFonts w:ascii="Times New Roman" w:hAnsi="Times New Roman"/>
                      <w:szCs w:val="21"/>
                    </w:rPr>
                    <w:t>悬浮物</w:t>
                  </w:r>
                </w:p>
              </w:tc>
              <w:tc>
                <w:tcPr>
                  <w:tcW w:w="955" w:type="dxa"/>
                  <w:vAlign w:val="center"/>
                </w:tcPr>
                <w:p>
                  <w:pPr>
                    <w:widowControl/>
                    <w:jc w:val="center"/>
                    <w:textAlignment w:val="center"/>
                    <w:rPr>
                      <w:rFonts w:ascii="Times New Roman" w:hAnsi="Times New Roman"/>
                      <w:szCs w:val="21"/>
                    </w:rPr>
                  </w:pPr>
                  <w:r>
                    <w:rPr>
                      <w:rFonts w:ascii="Times New Roman" w:hAnsi="Times New Roman"/>
                      <w:kern w:val="0"/>
                      <w:szCs w:val="21"/>
                      <w:lang w:bidi="ar"/>
                    </w:rPr>
                    <w:t xml:space="preserve">52 </w:t>
                  </w:r>
                </w:p>
              </w:tc>
              <w:tc>
                <w:tcPr>
                  <w:tcW w:w="1134" w:type="dxa"/>
                  <w:vAlign w:val="center"/>
                </w:tcPr>
                <w:p>
                  <w:pPr>
                    <w:widowControl/>
                    <w:jc w:val="center"/>
                    <w:textAlignment w:val="center"/>
                    <w:rPr>
                      <w:rFonts w:ascii="Times New Roman" w:hAnsi="Times New Roman"/>
                      <w:szCs w:val="21"/>
                    </w:rPr>
                  </w:pPr>
                  <w:r>
                    <w:rPr>
                      <w:rFonts w:ascii="Times New Roman" w:hAnsi="Times New Roman"/>
                      <w:kern w:val="0"/>
                      <w:szCs w:val="21"/>
                      <w:lang w:bidi="ar"/>
                    </w:rPr>
                    <w:t xml:space="preserve">39 </w:t>
                  </w:r>
                </w:p>
              </w:tc>
              <w:tc>
                <w:tcPr>
                  <w:tcW w:w="1134" w:type="dxa"/>
                  <w:vAlign w:val="center"/>
                </w:tcPr>
                <w:p>
                  <w:pPr>
                    <w:widowControl/>
                    <w:jc w:val="center"/>
                    <w:textAlignment w:val="center"/>
                    <w:rPr>
                      <w:rFonts w:ascii="Times New Roman" w:hAnsi="Times New Roman"/>
                      <w:szCs w:val="21"/>
                    </w:rPr>
                  </w:pPr>
                  <w:r>
                    <w:rPr>
                      <w:rFonts w:ascii="Times New Roman" w:hAnsi="Times New Roman"/>
                      <w:kern w:val="0"/>
                      <w:szCs w:val="21"/>
                      <w:lang w:bidi="ar"/>
                    </w:rPr>
                    <w:t xml:space="preserve">53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43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0" w:hRule="atLeast"/>
                <w:jc w:val="center"/>
              </w:trPr>
              <w:tc>
                <w:tcPr>
                  <w:tcW w:w="993" w:type="dxa"/>
                  <w:vMerge w:val="continue"/>
                  <w:vAlign w:val="center"/>
                </w:tcPr>
                <w:p>
                  <w:pPr>
                    <w:jc w:val="center"/>
                    <w:rPr>
                      <w:rFonts w:ascii="Times New Roman" w:hAnsi="Times New Roman"/>
                      <w:bCs/>
                      <w:color w:val="FF0000"/>
                      <w:szCs w:val="21"/>
                    </w:rPr>
                  </w:pPr>
                </w:p>
              </w:tc>
              <w:tc>
                <w:tcPr>
                  <w:tcW w:w="1189" w:type="dxa"/>
                  <w:vMerge w:val="continue"/>
                  <w:vAlign w:val="center"/>
                </w:tcPr>
                <w:p>
                  <w:pPr>
                    <w:jc w:val="center"/>
                    <w:rPr>
                      <w:rFonts w:ascii="Times New Roman" w:hAnsi="Times New Roman"/>
                      <w:color w:val="000000"/>
                      <w:szCs w:val="21"/>
                    </w:rPr>
                  </w:pPr>
                </w:p>
              </w:tc>
              <w:tc>
                <w:tcPr>
                  <w:tcW w:w="1396" w:type="dxa"/>
                  <w:vAlign w:val="center"/>
                </w:tcPr>
                <w:p>
                  <w:pPr>
                    <w:jc w:val="center"/>
                    <w:rPr>
                      <w:rFonts w:ascii="Times New Roman" w:hAnsi="Times New Roman"/>
                      <w:szCs w:val="21"/>
                    </w:rPr>
                  </w:pPr>
                  <w:r>
                    <w:rPr>
                      <w:rFonts w:ascii="Times New Roman" w:hAnsi="Times New Roman"/>
                      <w:szCs w:val="21"/>
                    </w:rPr>
                    <w:t>氨氮</w:t>
                  </w:r>
                </w:p>
              </w:tc>
              <w:tc>
                <w:tcPr>
                  <w:tcW w:w="95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13.7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15.0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13.5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14.0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0" w:hRule="atLeast"/>
                <w:jc w:val="center"/>
              </w:trPr>
              <w:tc>
                <w:tcPr>
                  <w:tcW w:w="993" w:type="dxa"/>
                  <w:vMerge w:val="continue"/>
                  <w:vAlign w:val="center"/>
                </w:tcPr>
                <w:p>
                  <w:pPr>
                    <w:jc w:val="center"/>
                    <w:rPr>
                      <w:rFonts w:ascii="Times New Roman" w:hAnsi="Times New Roman"/>
                      <w:bCs/>
                      <w:color w:val="FF0000"/>
                      <w:szCs w:val="21"/>
                    </w:rPr>
                  </w:pPr>
                </w:p>
              </w:tc>
              <w:tc>
                <w:tcPr>
                  <w:tcW w:w="1189" w:type="dxa"/>
                  <w:vMerge w:val="restart"/>
                  <w:vAlign w:val="center"/>
                </w:tcPr>
                <w:p>
                  <w:pPr>
                    <w:spacing w:before="62" w:beforeLines="20" w:after="62" w:afterLines="20"/>
                    <w:jc w:val="center"/>
                    <w:rPr>
                      <w:rFonts w:ascii="Times New Roman" w:hAnsi="Times New Roman"/>
                      <w:szCs w:val="21"/>
                    </w:rPr>
                  </w:pPr>
                  <w:r>
                    <w:rPr>
                      <w:rFonts w:ascii="Times New Roman" w:hAnsi="Times New Roman"/>
                      <w:szCs w:val="21"/>
                    </w:rPr>
                    <w:t>2022.12.19</w:t>
                  </w:r>
                </w:p>
              </w:tc>
              <w:tc>
                <w:tcPr>
                  <w:tcW w:w="1396" w:type="dxa"/>
                  <w:vAlign w:val="center"/>
                </w:tcPr>
                <w:p>
                  <w:pPr>
                    <w:jc w:val="center"/>
                    <w:rPr>
                      <w:rFonts w:ascii="Times New Roman" w:hAnsi="Times New Roman"/>
                      <w:szCs w:val="21"/>
                    </w:rPr>
                  </w:pPr>
                  <w:r>
                    <w:rPr>
                      <w:rFonts w:ascii="Times New Roman" w:hAnsi="Times New Roman"/>
                      <w:szCs w:val="21"/>
                    </w:rPr>
                    <w:t>化学需氧量</w:t>
                  </w:r>
                </w:p>
              </w:tc>
              <w:tc>
                <w:tcPr>
                  <w:tcW w:w="95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118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120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133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128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0" w:hRule="atLeast"/>
                <w:jc w:val="center"/>
              </w:trPr>
              <w:tc>
                <w:tcPr>
                  <w:tcW w:w="993" w:type="dxa"/>
                  <w:vMerge w:val="continue"/>
                  <w:vAlign w:val="center"/>
                </w:tcPr>
                <w:p>
                  <w:pPr>
                    <w:jc w:val="center"/>
                    <w:rPr>
                      <w:rFonts w:ascii="Times New Roman" w:hAnsi="Times New Roman"/>
                      <w:bCs/>
                      <w:color w:val="FF0000"/>
                      <w:szCs w:val="21"/>
                    </w:rPr>
                  </w:pPr>
                </w:p>
              </w:tc>
              <w:tc>
                <w:tcPr>
                  <w:tcW w:w="1189" w:type="dxa"/>
                  <w:vMerge w:val="continue"/>
                  <w:vAlign w:val="center"/>
                </w:tcPr>
                <w:p>
                  <w:pPr>
                    <w:jc w:val="center"/>
                    <w:rPr>
                      <w:rFonts w:ascii="Times New Roman" w:hAnsi="Times New Roman"/>
                      <w:color w:val="000000"/>
                      <w:szCs w:val="21"/>
                    </w:rPr>
                  </w:pPr>
                </w:p>
              </w:tc>
              <w:tc>
                <w:tcPr>
                  <w:tcW w:w="1396" w:type="dxa"/>
                  <w:vAlign w:val="center"/>
                </w:tcPr>
                <w:p>
                  <w:pPr>
                    <w:jc w:val="center"/>
                    <w:rPr>
                      <w:rFonts w:ascii="Times New Roman" w:hAnsi="Times New Roman"/>
                      <w:szCs w:val="21"/>
                    </w:rPr>
                  </w:pPr>
                  <w:r>
                    <w:rPr>
                      <w:rFonts w:ascii="Times New Roman" w:hAnsi="Times New Roman"/>
                      <w:szCs w:val="21"/>
                    </w:rPr>
                    <w:t>生化需氧量</w:t>
                  </w:r>
                </w:p>
              </w:tc>
              <w:tc>
                <w:tcPr>
                  <w:tcW w:w="955" w:type="dxa"/>
                  <w:vAlign w:val="center"/>
                </w:tcPr>
                <w:p>
                  <w:pPr>
                    <w:widowControl/>
                    <w:jc w:val="center"/>
                    <w:textAlignment w:val="center"/>
                    <w:rPr>
                      <w:rFonts w:ascii="Times New Roman" w:hAnsi="Times New Roman"/>
                      <w:szCs w:val="21"/>
                    </w:rPr>
                  </w:pPr>
                  <w:r>
                    <w:rPr>
                      <w:rFonts w:ascii="Times New Roman" w:hAnsi="Times New Roman"/>
                      <w:kern w:val="0"/>
                      <w:szCs w:val="21"/>
                      <w:lang w:bidi="ar"/>
                    </w:rPr>
                    <w:t xml:space="preserve">32.3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30.1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37.4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33.2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0" w:hRule="atLeast"/>
                <w:jc w:val="center"/>
              </w:trPr>
              <w:tc>
                <w:tcPr>
                  <w:tcW w:w="993" w:type="dxa"/>
                  <w:vMerge w:val="continue"/>
                  <w:vAlign w:val="center"/>
                </w:tcPr>
                <w:p>
                  <w:pPr>
                    <w:jc w:val="center"/>
                    <w:rPr>
                      <w:rFonts w:ascii="Times New Roman" w:hAnsi="Times New Roman"/>
                      <w:bCs/>
                      <w:color w:val="FF0000"/>
                      <w:szCs w:val="21"/>
                    </w:rPr>
                  </w:pPr>
                </w:p>
              </w:tc>
              <w:tc>
                <w:tcPr>
                  <w:tcW w:w="1189" w:type="dxa"/>
                  <w:vMerge w:val="continue"/>
                  <w:vAlign w:val="center"/>
                </w:tcPr>
                <w:p>
                  <w:pPr>
                    <w:jc w:val="center"/>
                    <w:rPr>
                      <w:rFonts w:ascii="Times New Roman" w:hAnsi="Times New Roman"/>
                      <w:color w:val="000000"/>
                      <w:szCs w:val="21"/>
                    </w:rPr>
                  </w:pPr>
                </w:p>
              </w:tc>
              <w:tc>
                <w:tcPr>
                  <w:tcW w:w="1396" w:type="dxa"/>
                  <w:vAlign w:val="center"/>
                </w:tcPr>
                <w:p>
                  <w:pPr>
                    <w:jc w:val="center"/>
                    <w:rPr>
                      <w:rFonts w:ascii="Times New Roman" w:hAnsi="Times New Roman"/>
                      <w:bCs/>
                      <w:color w:val="000000"/>
                      <w:szCs w:val="21"/>
                    </w:rPr>
                  </w:pPr>
                  <w:r>
                    <w:rPr>
                      <w:rFonts w:ascii="Times New Roman" w:hAnsi="Times New Roman"/>
                      <w:szCs w:val="21"/>
                    </w:rPr>
                    <w:t>悬浮物</w:t>
                  </w:r>
                </w:p>
              </w:tc>
              <w:tc>
                <w:tcPr>
                  <w:tcW w:w="955" w:type="dxa"/>
                  <w:vAlign w:val="center"/>
                </w:tcPr>
                <w:p>
                  <w:pPr>
                    <w:widowControl/>
                    <w:jc w:val="center"/>
                    <w:textAlignment w:val="center"/>
                    <w:rPr>
                      <w:rFonts w:ascii="Times New Roman" w:hAnsi="Times New Roman"/>
                      <w:szCs w:val="21"/>
                    </w:rPr>
                  </w:pPr>
                  <w:r>
                    <w:rPr>
                      <w:rFonts w:ascii="Times New Roman" w:hAnsi="Times New Roman"/>
                      <w:kern w:val="0"/>
                      <w:szCs w:val="21"/>
                      <w:lang w:bidi="ar"/>
                    </w:rPr>
                    <w:t xml:space="preserve">38 </w:t>
                  </w:r>
                </w:p>
              </w:tc>
              <w:tc>
                <w:tcPr>
                  <w:tcW w:w="1134" w:type="dxa"/>
                  <w:vAlign w:val="center"/>
                </w:tcPr>
                <w:p>
                  <w:pPr>
                    <w:widowControl/>
                    <w:jc w:val="center"/>
                    <w:textAlignment w:val="center"/>
                    <w:rPr>
                      <w:rFonts w:ascii="Times New Roman" w:hAnsi="Times New Roman"/>
                      <w:szCs w:val="21"/>
                    </w:rPr>
                  </w:pPr>
                  <w:r>
                    <w:rPr>
                      <w:rFonts w:ascii="Times New Roman" w:hAnsi="Times New Roman"/>
                      <w:kern w:val="0"/>
                      <w:szCs w:val="21"/>
                      <w:lang w:bidi="ar"/>
                    </w:rPr>
                    <w:t xml:space="preserve">46 </w:t>
                  </w:r>
                </w:p>
              </w:tc>
              <w:tc>
                <w:tcPr>
                  <w:tcW w:w="1134" w:type="dxa"/>
                  <w:vAlign w:val="center"/>
                </w:tcPr>
                <w:p>
                  <w:pPr>
                    <w:widowControl/>
                    <w:jc w:val="center"/>
                    <w:textAlignment w:val="center"/>
                    <w:rPr>
                      <w:rFonts w:ascii="Times New Roman" w:hAnsi="Times New Roman"/>
                      <w:szCs w:val="21"/>
                    </w:rPr>
                  </w:pPr>
                  <w:r>
                    <w:rPr>
                      <w:rFonts w:ascii="Times New Roman" w:hAnsi="Times New Roman"/>
                      <w:kern w:val="0"/>
                      <w:szCs w:val="21"/>
                      <w:lang w:bidi="ar"/>
                    </w:rPr>
                    <w:t xml:space="preserve">56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37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20" w:hRule="atLeast"/>
                <w:jc w:val="center"/>
              </w:trPr>
              <w:tc>
                <w:tcPr>
                  <w:tcW w:w="993" w:type="dxa"/>
                  <w:vMerge w:val="continue"/>
                  <w:vAlign w:val="center"/>
                </w:tcPr>
                <w:p>
                  <w:pPr>
                    <w:jc w:val="center"/>
                    <w:rPr>
                      <w:rFonts w:ascii="Times New Roman" w:hAnsi="Times New Roman"/>
                      <w:bCs/>
                      <w:color w:val="FF0000"/>
                      <w:szCs w:val="21"/>
                    </w:rPr>
                  </w:pPr>
                </w:p>
              </w:tc>
              <w:tc>
                <w:tcPr>
                  <w:tcW w:w="1189" w:type="dxa"/>
                  <w:vMerge w:val="continue"/>
                  <w:vAlign w:val="center"/>
                </w:tcPr>
                <w:p>
                  <w:pPr>
                    <w:jc w:val="center"/>
                    <w:rPr>
                      <w:rFonts w:ascii="Times New Roman" w:hAnsi="Times New Roman"/>
                      <w:color w:val="000000"/>
                      <w:szCs w:val="21"/>
                    </w:rPr>
                  </w:pPr>
                </w:p>
              </w:tc>
              <w:tc>
                <w:tcPr>
                  <w:tcW w:w="1396" w:type="dxa"/>
                  <w:vAlign w:val="center"/>
                </w:tcPr>
                <w:p>
                  <w:pPr>
                    <w:jc w:val="center"/>
                    <w:rPr>
                      <w:rFonts w:ascii="Times New Roman" w:hAnsi="Times New Roman"/>
                      <w:szCs w:val="21"/>
                    </w:rPr>
                  </w:pPr>
                  <w:r>
                    <w:rPr>
                      <w:rFonts w:ascii="Times New Roman" w:hAnsi="Times New Roman"/>
                      <w:szCs w:val="21"/>
                    </w:rPr>
                    <w:t>氨氮</w:t>
                  </w:r>
                </w:p>
              </w:tc>
              <w:tc>
                <w:tcPr>
                  <w:tcW w:w="95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16.0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15.9 </w:t>
                  </w:r>
                </w:p>
              </w:tc>
              <w:tc>
                <w:tcPr>
                  <w:tcW w:w="1134"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15.0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 xml:space="preserve">15.2 </w:t>
                  </w:r>
                </w:p>
              </w:tc>
              <w:tc>
                <w:tcPr>
                  <w:tcW w:w="1135" w:type="dxa"/>
                  <w:vAlign w:val="center"/>
                </w:tcPr>
                <w:p>
                  <w:pPr>
                    <w:widowControl/>
                    <w:jc w:val="center"/>
                    <w:textAlignment w:val="center"/>
                    <w:rPr>
                      <w:rFonts w:ascii="Times New Roman" w:hAnsi="Times New Roman"/>
                      <w:kern w:val="0"/>
                      <w:szCs w:val="21"/>
                      <w:lang w:bidi="ar"/>
                    </w:rPr>
                  </w:pPr>
                  <w:r>
                    <w:rPr>
                      <w:rFonts w:ascii="Times New Roman" w:hAnsi="Times New Roman"/>
                      <w:kern w:val="0"/>
                      <w:szCs w:val="21"/>
                      <w:lang w:bidi="ar"/>
                    </w:rPr>
                    <w:t>mg/L</w:t>
                  </w:r>
                </w:p>
              </w:tc>
            </w:tr>
          </w:tbl>
          <w:p>
            <w:pPr>
              <w:pStyle w:val="2"/>
              <w:jc w:val="both"/>
              <w:rPr>
                <w:rFonts w:ascii="Times New Roman" w:hAnsi="Times New Roman"/>
              </w:rPr>
            </w:pPr>
          </w:p>
          <w:p>
            <w:pPr>
              <w:rPr>
                <w:rFonts w:ascii="Times New Roman" w:hAnsi="Times New Roman" w:eastAsiaTheme="minorEastAsia"/>
                <w:color w:val="FF0000"/>
              </w:rPr>
            </w:pPr>
          </w:p>
          <w:p>
            <w:pPr>
              <w:pStyle w:val="2"/>
              <w:jc w:val="both"/>
              <w:rPr>
                <w:rFonts w:ascii="Times New Roman" w:hAnsi="Times New Roman"/>
                <w:color w:val="FF0000"/>
              </w:rPr>
            </w:pPr>
          </w:p>
          <w:p>
            <w:pPr>
              <w:rPr>
                <w:rFonts w:ascii="Times New Roman" w:hAnsi="Times New Roman"/>
                <w:color w:val="FF0000"/>
              </w:rPr>
            </w:pPr>
          </w:p>
          <w:p>
            <w:pPr>
              <w:pStyle w:val="2"/>
              <w:jc w:val="both"/>
              <w:rPr>
                <w:rFonts w:ascii="Times New Roman" w:hAnsi="Times New Roman"/>
                <w:color w:val="FF0000"/>
              </w:rPr>
            </w:pPr>
          </w:p>
          <w:p>
            <w:pPr>
              <w:rPr>
                <w:rFonts w:ascii="Times New Roman" w:hAnsi="Times New Roman"/>
                <w:color w:val="FF0000"/>
              </w:rPr>
            </w:pPr>
          </w:p>
          <w:p>
            <w:pPr>
              <w:pStyle w:val="2"/>
              <w:jc w:val="both"/>
              <w:rPr>
                <w:rFonts w:ascii="Times New Roman" w:hAnsi="Times New Roman"/>
                <w:color w:val="FF0000"/>
              </w:rPr>
            </w:pPr>
          </w:p>
          <w:p>
            <w:pPr>
              <w:rPr>
                <w:rFonts w:ascii="Times New Roman" w:hAnsi="Times New Roman"/>
                <w:color w:val="FF0000"/>
              </w:rPr>
            </w:pPr>
          </w:p>
          <w:p>
            <w:pPr>
              <w:pStyle w:val="2"/>
              <w:jc w:val="both"/>
              <w:rPr>
                <w:rFonts w:ascii="Times New Roman" w:hAnsi="Times New Roman"/>
                <w:color w:val="FF0000"/>
              </w:rPr>
            </w:pPr>
          </w:p>
          <w:p>
            <w:pPr>
              <w:rPr>
                <w:rFonts w:ascii="Times New Roman" w:hAnsi="Times New Roman"/>
                <w:color w:val="FF0000"/>
              </w:rPr>
            </w:pPr>
          </w:p>
          <w:p>
            <w:pPr>
              <w:pStyle w:val="2"/>
              <w:jc w:val="both"/>
              <w:rPr>
                <w:rFonts w:ascii="Times New Roman" w:hAnsi="Times New Roman"/>
                <w:color w:val="FF0000"/>
              </w:rPr>
            </w:pPr>
          </w:p>
          <w:p>
            <w:pPr>
              <w:rPr>
                <w:rFonts w:ascii="Times New Roman" w:hAnsi="Times New Roman"/>
                <w:color w:val="FF0000"/>
              </w:rPr>
            </w:pPr>
          </w:p>
          <w:p>
            <w:pPr>
              <w:pStyle w:val="2"/>
              <w:jc w:val="both"/>
              <w:rPr>
                <w:rFonts w:ascii="Times New Roman" w:hAnsi="Times New Roman"/>
                <w:color w:val="FF0000"/>
              </w:rPr>
            </w:pPr>
          </w:p>
          <w:p>
            <w:pPr>
              <w:rPr>
                <w:rFonts w:ascii="Times New Roman" w:hAnsi="Times New Roman"/>
                <w:color w:val="FF0000"/>
              </w:rPr>
            </w:pPr>
          </w:p>
          <w:p>
            <w:pPr>
              <w:rPr>
                <w:rFonts w:ascii="Times New Roman" w:hAnsi="Times New Roman"/>
                <w:color w:val="FF0000"/>
              </w:rPr>
            </w:pPr>
          </w:p>
        </w:tc>
      </w:tr>
    </w:tbl>
    <w:p>
      <w:pPr>
        <w:spacing w:line="360" w:lineRule="auto"/>
        <w:outlineLvl w:val="0"/>
        <w:rPr>
          <w:rFonts w:ascii="Times New Roman" w:hAnsi="Times New Roman" w:eastAsiaTheme="minorEastAsia"/>
          <w:b/>
          <w:color w:val="FF0000"/>
          <w:sz w:val="28"/>
          <w:szCs w:val="28"/>
        </w:rPr>
        <w:sectPr>
          <w:pgSz w:w="11906" w:h="16838"/>
          <w:pgMar w:top="1440" w:right="1800" w:bottom="1440" w:left="1800" w:header="851" w:footer="992" w:gutter="0"/>
          <w:cols w:space="720" w:num="1"/>
          <w:docGrid w:type="lines" w:linePitch="312" w:charSpace="0"/>
        </w:sectPr>
      </w:pPr>
    </w:p>
    <w:p>
      <w:pPr>
        <w:spacing w:line="360" w:lineRule="auto"/>
        <w:outlineLvl w:val="0"/>
        <w:rPr>
          <w:rFonts w:ascii="Times New Roman" w:hAnsi="Times New Roman" w:eastAsiaTheme="minorEastAsia"/>
          <w:b/>
          <w:sz w:val="28"/>
          <w:szCs w:val="28"/>
        </w:rPr>
      </w:pPr>
      <w:r>
        <w:rPr>
          <w:rFonts w:ascii="Times New Roman" w:hAnsi="Times New Roman" w:eastAsiaTheme="minorEastAsia"/>
          <w:b/>
          <w:sz w:val="28"/>
          <w:szCs w:val="28"/>
        </w:rPr>
        <w:t>表</w:t>
      </w:r>
      <w:bookmarkEnd w:id="58"/>
      <w:r>
        <w:rPr>
          <w:rFonts w:ascii="Times New Roman" w:hAnsi="Times New Roman" w:eastAsiaTheme="minorEastAsia"/>
          <w:b/>
          <w:sz w:val="28"/>
          <w:szCs w:val="28"/>
        </w:rPr>
        <w:t>八验收监测结论与建议</w:t>
      </w:r>
      <w:bookmarkEnd w:id="59"/>
    </w:p>
    <w:tbl>
      <w:tblPr>
        <w:tblStyle w:val="22"/>
        <w:tblW w:w="9011" w:type="dxa"/>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0" w:hRule="atLeast"/>
        </w:trPr>
        <w:tc>
          <w:tcPr>
            <w:tcW w:w="9011" w:type="dxa"/>
          </w:tcPr>
          <w:p>
            <w:pPr>
              <w:spacing w:before="62" w:beforeLines="20" w:line="360" w:lineRule="auto"/>
              <w:rPr>
                <w:rFonts w:ascii="Times New Roman" w:hAnsi="Times New Roman" w:eastAsiaTheme="minorEastAsia"/>
                <w:b/>
                <w:bCs/>
                <w:sz w:val="28"/>
                <w:szCs w:val="28"/>
              </w:rPr>
            </w:pPr>
            <w:r>
              <w:rPr>
                <w:rFonts w:ascii="Times New Roman" w:hAnsi="Times New Roman" w:eastAsiaTheme="minorEastAsia"/>
                <w:b/>
                <w:bCs/>
                <w:sz w:val="28"/>
                <w:szCs w:val="28"/>
              </w:rPr>
              <w:t>验收监测结论与建议：</w:t>
            </w:r>
          </w:p>
          <w:p>
            <w:pPr>
              <w:pStyle w:val="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bCs/>
                <w:color w:val="auto"/>
              </w:rPr>
              <w:t>报废农业机械回收拆解项目</w:t>
            </w:r>
            <w:r>
              <w:rPr>
                <w:rFonts w:ascii="Times New Roman" w:hAnsi="Times New Roman" w:eastAsiaTheme="minorEastAsia"/>
                <w:color w:val="auto"/>
              </w:rPr>
              <w:t>按照《中华人民共和国环境保护法》、《建设项目环境保护管理条例》等有关法律、法规的要求进行了项目前期的环境影响评价，审批手续齐全完整。项目竣工后，按照建设项目竣工环境保护验收的要求和规定提出了竣工验收申请。</w:t>
            </w:r>
          </w:p>
          <w:p>
            <w:pPr>
              <w:spacing w:line="360" w:lineRule="auto"/>
              <w:ind w:firstLine="480" w:firstLineChars="200"/>
              <w:outlineLvl w:val="0"/>
              <w:rPr>
                <w:rFonts w:ascii="Times New Roman" w:hAnsi="Times New Roman" w:eastAsiaTheme="minorEastAsia"/>
              </w:rPr>
            </w:pPr>
            <w:r>
              <w:rPr>
                <w:rFonts w:ascii="Times New Roman" w:hAnsi="Times New Roman" w:eastAsiaTheme="minorEastAsia"/>
                <w:sz w:val="24"/>
              </w:rPr>
              <w:t>1、验收监测期间，</w:t>
            </w:r>
            <w:bookmarkStart w:id="63" w:name="_Hlk122276570"/>
            <w:r>
              <w:rPr>
                <w:rFonts w:ascii="Times New Roman" w:hAnsi="Times New Roman" w:eastAsiaTheme="minorEastAsia"/>
              </w:rPr>
              <w:t>厂界西侧噪声昼间最大监测结果为51dB（A），夜间最大监测结果为41dB（A），满足《工业企业厂界环境噪声排放标准》（GB12348-2008）中4类标准；</w:t>
            </w:r>
            <w:r>
              <w:rPr>
                <w:rFonts w:ascii="Times New Roman" w:hAnsi="Times New Roman" w:eastAsiaTheme="minorEastAsia"/>
                <w:szCs w:val="21"/>
              </w:rPr>
              <w:t>其余侧</w:t>
            </w:r>
            <w:r>
              <w:rPr>
                <w:rFonts w:ascii="Times New Roman" w:hAnsi="Times New Roman" w:eastAsiaTheme="minorEastAsia"/>
              </w:rPr>
              <w:t>厂界噪声昼间最大监测结果为53dB（A），夜间最大监测结果为43dB（A），满足《工业企业厂界环境噪声排放标准》（GB12348-2008）中3类标准。</w:t>
            </w:r>
            <w:bookmarkEnd w:id="63"/>
          </w:p>
          <w:p>
            <w:pPr>
              <w:spacing w:line="360" w:lineRule="auto"/>
              <w:ind w:firstLine="480" w:firstLineChars="200"/>
              <w:jc w:val="left"/>
              <w:rPr>
                <w:rFonts w:ascii="Times New Roman" w:hAnsi="Times New Roman" w:eastAsiaTheme="minorEastAsia"/>
                <w:sz w:val="24"/>
                <w:szCs w:val="21"/>
              </w:rPr>
            </w:pPr>
            <w:r>
              <w:rPr>
                <w:rFonts w:ascii="Times New Roman" w:hAnsi="Times New Roman" w:eastAsiaTheme="minorEastAsia"/>
                <w:sz w:val="24"/>
              </w:rPr>
              <w:t>2、</w:t>
            </w:r>
            <w:r>
              <w:rPr>
                <w:rFonts w:ascii="Times New Roman" w:hAnsi="Times New Roman" w:eastAsiaTheme="minorEastAsia"/>
                <w:bCs/>
                <w:sz w:val="24"/>
              </w:rPr>
              <w:t>无组织排放：</w:t>
            </w:r>
            <w:r>
              <w:rPr>
                <w:rFonts w:ascii="Times New Roman" w:hAnsi="Times New Roman" w:eastAsiaTheme="minorEastAsia"/>
                <w:sz w:val="24"/>
              </w:rPr>
              <w:t>验收监测期间，</w:t>
            </w:r>
            <w:r>
              <w:rPr>
                <w:rFonts w:ascii="Times New Roman" w:hAnsi="Times New Roman" w:eastAsiaTheme="minorEastAsia"/>
                <w:bCs/>
                <w:sz w:val="24"/>
              </w:rPr>
              <w:t>厂界</w:t>
            </w:r>
            <w:bookmarkStart w:id="64" w:name="_Hlk122276528"/>
            <w:r>
              <w:rPr>
                <w:rFonts w:ascii="Times New Roman" w:hAnsi="Times New Roman" w:eastAsiaTheme="minorEastAsia"/>
                <w:bCs/>
                <w:sz w:val="24"/>
              </w:rPr>
              <w:t>外上风向非甲烷总烃最大排放浓度为0.79mg/m</w:t>
            </w:r>
            <w:r>
              <w:rPr>
                <w:rFonts w:ascii="Times New Roman" w:hAnsi="Times New Roman" w:eastAsiaTheme="minorEastAsia"/>
                <w:bCs/>
                <w:sz w:val="24"/>
                <w:vertAlign w:val="superscript"/>
              </w:rPr>
              <w:t>3</w:t>
            </w:r>
            <w:r>
              <w:rPr>
                <w:rFonts w:ascii="Times New Roman" w:hAnsi="Times New Roman" w:eastAsiaTheme="minorEastAsia"/>
                <w:bCs/>
                <w:sz w:val="24"/>
              </w:rPr>
              <w:t>，</w:t>
            </w:r>
            <w:r>
              <w:rPr>
                <w:rFonts w:ascii="Times New Roman" w:hAnsi="Times New Roman" w:eastAsiaTheme="minorEastAsia"/>
                <w:sz w:val="24"/>
              </w:rPr>
              <w:t>厂界外下风向</w:t>
            </w:r>
            <w:r>
              <w:rPr>
                <w:rFonts w:ascii="Times New Roman" w:hAnsi="Times New Roman" w:eastAsiaTheme="minorEastAsia"/>
                <w:bCs/>
                <w:sz w:val="24"/>
              </w:rPr>
              <w:t>非甲烷总烃</w:t>
            </w:r>
            <w:r>
              <w:rPr>
                <w:rFonts w:ascii="Times New Roman" w:hAnsi="Times New Roman" w:eastAsiaTheme="minorEastAsia"/>
                <w:sz w:val="24"/>
              </w:rPr>
              <w:t>最大排放浓度为0.94mg/m</w:t>
            </w:r>
            <w:r>
              <w:rPr>
                <w:rFonts w:ascii="Times New Roman" w:hAnsi="Times New Roman" w:eastAsiaTheme="minorEastAsia"/>
                <w:sz w:val="24"/>
                <w:vertAlign w:val="superscript"/>
              </w:rPr>
              <w:t>3</w:t>
            </w:r>
            <w:r>
              <w:rPr>
                <w:rFonts w:ascii="Times New Roman" w:hAnsi="Times New Roman" w:eastAsiaTheme="minorEastAsia"/>
                <w:sz w:val="24"/>
              </w:rPr>
              <w:t>，满足</w:t>
            </w:r>
            <w:r>
              <w:rPr>
                <w:rFonts w:ascii="Times New Roman" w:hAnsi="Times New Roman" w:eastAsiaTheme="minorEastAsia"/>
                <w:sz w:val="24"/>
                <w:szCs w:val="21"/>
              </w:rPr>
              <w:t>《大气污染物综合排放标准》（GB16297-1996）的表2规定</w:t>
            </w:r>
            <w:r>
              <w:rPr>
                <w:rFonts w:ascii="Times New Roman" w:hAnsi="Times New Roman" w:eastAsiaTheme="minorEastAsia"/>
                <w:sz w:val="24"/>
              </w:rPr>
              <w:t>要求。</w:t>
            </w:r>
          </w:p>
          <w:bookmarkEnd w:id="64"/>
          <w:p>
            <w:pPr>
              <w:spacing w:line="360" w:lineRule="auto"/>
              <w:ind w:firstLine="480" w:firstLineChars="200"/>
              <w:jc w:val="left"/>
              <w:rPr>
                <w:rFonts w:ascii="Times New Roman" w:hAnsi="Times New Roman" w:eastAsiaTheme="minorEastAsia"/>
                <w:bCs/>
                <w:sz w:val="24"/>
              </w:rPr>
            </w:pPr>
            <w:r>
              <w:rPr>
                <w:rFonts w:ascii="Times New Roman" w:hAnsi="Times New Roman" w:eastAsiaTheme="minorEastAsia"/>
                <w:sz w:val="24"/>
              </w:rPr>
              <w:t>验收监测期间，</w:t>
            </w:r>
            <w:bookmarkStart w:id="65" w:name="_Hlk122276625"/>
            <w:r>
              <w:rPr>
                <w:rFonts w:ascii="Times New Roman" w:hAnsi="Times New Roman" w:eastAsiaTheme="minorEastAsia"/>
                <w:bCs/>
                <w:sz w:val="24"/>
              </w:rPr>
              <w:t>厂界外上风向颗粒物最大排放浓度为0.115mg/m</w:t>
            </w:r>
            <w:r>
              <w:rPr>
                <w:rFonts w:ascii="Times New Roman" w:hAnsi="Times New Roman" w:eastAsiaTheme="minorEastAsia"/>
                <w:bCs/>
                <w:sz w:val="24"/>
                <w:vertAlign w:val="superscript"/>
              </w:rPr>
              <w:t>3</w:t>
            </w:r>
            <w:r>
              <w:rPr>
                <w:rFonts w:ascii="Times New Roman" w:hAnsi="Times New Roman" w:eastAsiaTheme="minorEastAsia"/>
                <w:bCs/>
                <w:sz w:val="24"/>
              </w:rPr>
              <w:t>，</w:t>
            </w:r>
            <w:r>
              <w:rPr>
                <w:rFonts w:ascii="Times New Roman" w:hAnsi="Times New Roman" w:eastAsiaTheme="minorEastAsia"/>
                <w:sz w:val="24"/>
              </w:rPr>
              <w:t>厂界外下风向</w:t>
            </w:r>
            <w:r>
              <w:rPr>
                <w:rFonts w:ascii="Times New Roman" w:hAnsi="Times New Roman" w:eastAsiaTheme="minorEastAsia"/>
                <w:bCs/>
                <w:sz w:val="24"/>
              </w:rPr>
              <w:t>颗粒物最大排放浓度为0.181mg/m</w:t>
            </w:r>
            <w:r>
              <w:rPr>
                <w:rFonts w:ascii="Times New Roman" w:hAnsi="Times New Roman" w:eastAsiaTheme="minorEastAsia"/>
                <w:bCs/>
                <w:sz w:val="24"/>
                <w:vertAlign w:val="superscript"/>
              </w:rPr>
              <w:t>3</w:t>
            </w:r>
            <w:r>
              <w:rPr>
                <w:rFonts w:ascii="Times New Roman" w:hAnsi="Times New Roman" w:eastAsiaTheme="minorEastAsia"/>
                <w:bCs/>
                <w:sz w:val="24"/>
              </w:rPr>
              <w:t>，</w:t>
            </w:r>
            <w:r>
              <w:rPr>
                <w:rFonts w:ascii="Times New Roman" w:hAnsi="Times New Roman" w:eastAsiaTheme="minorEastAsia"/>
                <w:sz w:val="24"/>
              </w:rPr>
              <w:t>满足</w:t>
            </w:r>
            <w:r>
              <w:rPr>
                <w:rFonts w:ascii="Times New Roman" w:hAnsi="Times New Roman" w:eastAsiaTheme="minorEastAsia"/>
                <w:sz w:val="24"/>
                <w:szCs w:val="21"/>
              </w:rPr>
              <w:t>《大气污染物综合排放标准》（GB16297-1996）的表2规定</w:t>
            </w:r>
            <w:r>
              <w:rPr>
                <w:rFonts w:ascii="Times New Roman" w:hAnsi="Times New Roman" w:eastAsiaTheme="minorEastAsia"/>
                <w:sz w:val="24"/>
              </w:rPr>
              <w:t>要求。</w:t>
            </w:r>
          </w:p>
          <w:bookmarkEnd w:id="65"/>
          <w:p>
            <w:pPr>
              <w:pStyle w:val="2"/>
              <w:spacing w:line="360" w:lineRule="auto"/>
              <w:ind w:firstLine="480" w:firstLineChars="200"/>
              <w:jc w:val="both"/>
              <w:outlineLvl w:val="1"/>
              <w:rPr>
                <w:rFonts w:ascii="Times New Roman" w:hAnsi="Times New Roman" w:eastAsiaTheme="minorEastAsia"/>
                <w:color w:val="auto"/>
              </w:rPr>
            </w:pPr>
            <w:r>
              <w:rPr>
                <w:rFonts w:ascii="Times New Roman" w:hAnsi="Times New Roman" w:eastAsiaTheme="minorEastAsia"/>
                <w:bCs/>
                <w:color w:val="auto"/>
              </w:rPr>
              <w:t>4、废水：</w:t>
            </w:r>
            <w:r>
              <w:rPr>
                <w:rFonts w:ascii="Times New Roman" w:hAnsi="Times New Roman" w:eastAsiaTheme="minorEastAsia"/>
                <w:color w:val="auto"/>
              </w:rPr>
              <w:t>验收监测期间，</w:t>
            </w:r>
            <w:bookmarkStart w:id="66" w:name="_Hlk122276646"/>
            <w:bookmarkStart w:id="67" w:name="_Hlk122276268"/>
            <w:r>
              <w:rPr>
                <w:rFonts w:ascii="Times New Roman" w:hAnsi="Times New Roman" w:eastAsiaTheme="minorEastAsia"/>
                <w:color w:val="auto"/>
              </w:rPr>
              <w:t>污水总排放口化学需氧量最大浓度为176mg/L，五日生化需氧量最大浓度为42.6mg/L，氨氮最大浓度为16.0mg/L，悬浮物最大浓度为53mg/L，满足《污水综合排放标准》（GB8979-1996）中的三级标准。</w:t>
            </w:r>
            <w:bookmarkEnd w:id="66"/>
          </w:p>
          <w:bookmarkEnd w:id="67"/>
          <w:p>
            <w:pPr>
              <w:pStyle w:val="2"/>
              <w:spacing w:line="360" w:lineRule="auto"/>
              <w:ind w:firstLine="480" w:firstLineChars="200"/>
              <w:jc w:val="both"/>
              <w:outlineLvl w:val="1"/>
              <w:rPr>
                <w:rFonts w:ascii="Times New Roman" w:hAnsi="Times New Roman" w:eastAsiaTheme="minorEastAsia"/>
                <w:color w:val="auto"/>
                <w:kern w:val="2"/>
              </w:rPr>
            </w:pPr>
            <w:r>
              <w:rPr>
                <w:rFonts w:ascii="Times New Roman" w:hAnsi="Times New Roman" w:eastAsiaTheme="minorEastAsia"/>
                <w:color w:val="auto"/>
              </w:rPr>
              <w:t>5、验收监测期间，</w:t>
            </w:r>
            <w:r>
              <w:rPr>
                <w:rFonts w:ascii="Times New Roman" w:hAnsi="Times New Roman" w:eastAsiaTheme="minorEastAsia"/>
                <w:color w:val="auto"/>
                <w:kern w:val="2"/>
              </w:rPr>
              <w:t>运营期生活垃圾、废革片、土屑等由市政环卫部门统一处理；废铅酸蓄电池、废油液、废电路板、废防冻液、废活性炭分类收集的含油抹布及手套等属于危险废物，依托厂区现有危废暂存间暂存，废油液委托佳木斯市郊区恒坤废油再生处理厂处置，其余委托</w:t>
            </w:r>
            <w:r>
              <w:rPr>
                <w:rFonts w:ascii="Times New Roman" w:hAnsi="Times New Roman" w:eastAsiaTheme="minorEastAsia"/>
                <w:color w:val="auto"/>
              </w:rPr>
              <w:t>佳木斯龙江环保再生资源有限公司</w:t>
            </w:r>
            <w:r>
              <w:rPr>
                <w:rFonts w:ascii="Times New Roman" w:hAnsi="Times New Roman" w:eastAsiaTheme="minorEastAsia"/>
                <w:color w:val="auto"/>
                <w:kern w:val="2"/>
              </w:rPr>
              <w:t>处置。</w:t>
            </w:r>
          </w:p>
          <w:p>
            <w:pPr>
              <w:pStyle w:val="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color w:val="auto"/>
              </w:rPr>
              <w:t>6、环境管理检查结果</w:t>
            </w:r>
          </w:p>
          <w:p>
            <w:pPr>
              <w:pStyle w:val="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color w:val="auto"/>
              </w:rPr>
              <w:t>本项目建立了完善的规章管理制度，按要求进行环境保护设施调试及日常运行维护，环境管理台账记录完善。</w:t>
            </w:r>
          </w:p>
          <w:p>
            <w:pPr>
              <w:pStyle w:val="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color w:val="auto"/>
              </w:rPr>
              <w:t>本项目环保审批手续和档案资料齐全。项目的污染治理设施与主体工程同时设计、同时施工和同时投产使用。噪声、废气和固废等项目的监测均满足相应的排放标准限值要求。验收监测期间环保设施正常稳定运转，污染物能达标稳定排放。环评及其批复中要求的污染控制措施基本都得到了落实。</w:t>
            </w:r>
          </w:p>
          <w:p>
            <w:pPr>
              <w:pStyle w:val="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color w:val="auto"/>
              </w:rPr>
              <w:t>因此，</w:t>
            </w:r>
            <w:r>
              <w:rPr>
                <w:rFonts w:ascii="Times New Roman" w:hAnsi="Times New Roman"/>
                <w:color w:val="auto"/>
              </w:rPr>
              <w:t>报废农业机械回收拆解项目</w:t>
            </w:r>
            <w:r>
              <w:rPr>
                <w:rFonts w:ascii="Times New Roman" w:hAnsi="Times New Roman" w:eastAsiaTheme="minorEastAsia"/>
                <w:color w:val="auto"/>
              </w:rPr>
              <w:t>满足竣工环境保护验收的条件和要求。</w:t>
            </w:r>
          </w:p>
          <w:p>
            <w:pPr>
              <w:pStyle w:val="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color w:val="auto"/>
              </w:rPr>
              <w:t>建议：</w:t>
            </w:r>
          </w:p>
          <w:p>
            <w:pPr>
              <w:pStyle w:val="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color w:val="auto"/>
              </w:rPr>
              <w:t>1、进一步加强环保设施日常运行管理与维护，确保污染物稳定达标排放。</w:t>
            </w:r>
          </w:p>
          <w:p>
            <w:pPr>
              <w:pStyle w:val="2"/>
              <w:spacing w:line="360" w:lineRule="auto"/>
              <w:ind w:firstLine="480" w:firstLineChars="200"/>
              <w:jc w:val="both"/>
              <w:rPr>
                <w:rFonts w:ascii="Times New Roman" w:hAnsi="Times New Roman" w:eastAsiaTheme="minorEastAsia"/>
                <w:color w:val="FF0000"/>
              </w:rPr>
            </w:pPr>
            <w:r>
              <w:rPr>
                <w:rFonts w:ascii="Times New Roman" w:hAnsi="Times New Roman" w:eastAsiaTheme="minorEastAsia"/>
                <w:color w:val="auto"/>
              </w:rPr>
              <w:t>2、进一步完善并落实环境风险应急预案，定期开展环境事故应急演练，防止污染事故发生。</w:t>
            </w:r>
          </w:p>
        </w:tc>
      </w:tr>
    </w:tbl>
    <w:p>
      <w:pPr>
        <w:pStyle w:val="2"/>
        <w:rPr>
          <w:rFonts w:ascii="Times New Roman" w:hAnsi="Times New Roman" w:eastAsiaTheme="minorEastAsia"/>
          <w:color w:val="FF0000"/>
        </w:rPr>
        <w:sectPr>
          <w:pgSz w:w="11906" w:h="16838"/>
          <w:pgMar w:top="1440" w:right="1800" w:bottom="1440" w:left="1800" w:header="851" w:footer="992" w:gutter="0"/>
          <w:cols w:space="720" w:num="1"/>
          <w:docGrid w:type="lines" w:linePitch="312" w:charSpace="0"/>
        </w:sectPr>
      </w:pPr>
    </w:p>
    <w:bookmarkEnd w:id="60"/>
    <w:bookmarkEnd w:id="61"/>
    <w:p>
      <w:pPr>
        <w:pStyle w:val="2"/>
        <w:outlineLvl w:val="0"/>
        <w:rPr>
          <w:rFonts w:ascii="Times New Roman" w:hAnsi="Times New Roman" w:eastAsiaTheme="minorEastAsia"/>
          <w:b/>
          <w:bCs/>
          <w:color w:val="auto"/>
          <w:sz w:val="28"/>
          <w:szCs w:val="28"/>
        </w:rPr>
      </w:pPr>
      <w:bookmarkStart w:id="68" w:name="_Toc4590"/>
      <w:bookmarkStart w:id="69" w:name="_Toc21544"/>
      <w:r>
        <w:rPr>
          <w:rFonts w:ascii="Times New Roman" w:hAnsi="Times New Roman" w:eastAsiaTheme="minorEastAsia"/>
          <w:b/>
          <w:bCs/>
          <w:color w:val="auto"/>
          <w:sz w:val="28"/>
          <w:szCs w:val="28"/>
        </w:rPr>
        <w:t>表</w:t>
      </w:r>
      <w:bookmarkEnd w:id="68"/>
      <w:r>
        <w:rPr>
          <w:rFonts w:ascii="Times New Roman" w:hAnsi="Times New Roman" w:eastAsiaTheme="minorEastAsia"/>
          <w:b/>
          <w:bCs/>
          <w:color w:val="auto"/>
          <w:sz w:val="28"/>
          <w:szCs w:val="28"/>
        </w:rPr>
        <w:t>九环境保护措施及环评批复落实情况</w:t>
      </w:r>
      <w:bookmarkEnd w:id="69"/>
    </w:p>
    <w:tbl>
      <w:tblPr>
        <w:tblStyle w:val="22"/>
        <w:tblW w:w="900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3" w:hRule="atLeast"/>
        </w:trPr>
        <w:tc>
          <w:tcPr>
            <w:tcW w:w="9000" w:type="dxa"/>
          </w:tcPr>
          <w:p>
            <w:pPr>
              <w:widowControl/>
              <w:adjustRightInd w:val="0"/>
              <w:snapToGrid w:val="0"/>
              <w:spacing w:line="360" w:lineRule="auto"/>
              <w:rPr>
                <w:rFonts w:ascii="Times New Roman" w:hAnsi="Times New Roman" w:eastAsiaTheme="minorEastAsia"/>
                <w:b/>
                <w:sz w:val="28"/>
                <w:szCs w:val="28"/>
              </w:rPr>
            </w:pPr>
            <w:r>
              <w:rPr>
                <w:rFonts w:ascii="Times New Roman" w:hAnsi="Times New Roman" w:eastAsiaTheme="minorEastAsia"/>
                <w:b/>
                <w:bCs/>
                <w:sz w:val="30"/>
                <w:szCs w:val="30"/>
              </w:rPr>
              <w:t>环境管理检查：</w:t>
            </w:r>
          </w:p>
          <w:p>
            <w:pPr>
              <w:widowControl/>
              <w:adjustRightInd w:val="0"/>
              <w:snapToGrid w:val="0"/>
              <w:spacing w:line="360" w:lineRule="auto"/>
              <w:rPr>
                <w:rFonts w:ascii="Times New Roman" w:hAnsi="Times New Roman" w:eastAsiaTheme="minorEastAsia"/>
                <w:b/>
                <w:bCs/>
                <w:sz w:val="24"/>
              </w:rPr>
            </w:pPr>
            <w:r>
              <w:rPr>
                <w:rFonts w:ascii="Times New Roman" w:hAnsi="Times New Roman" w:eastAsiaTheme="minorEastAsia"/>
                <w:b/>
                <w:sz w:val="24"/>
              </w:rPr>
              <w:t>一、环保审批手续及“三同时”执行情况</w:t>
            </w:r>
            <w:r>
              <w:rPr>
                <w:rFonts w:ascii="Times New Roman" w:hAnsi="Times New Roman" w:eastAsiaTheme="minorEastAsia"/>
                <w:b/>
                <w:bCs/>
                <w:sz w:val="24"/>
              </w:rPr>
              <w:t>：</w:t>
            </w:r>
          </w:p>
          <w:p>
            <w:pPr>
              <w:widowControl/>
              <w:adjustRightInd w:val="0"/>
              <w:snapToGrid w:val="0"/>
              <w:spacing w:line="360" w:lineRule="auto"/>
              <w:jc w:val="center"/>
              <w:rPr>
                <w:rFonts w:ascii="Times New Roman" w:hAnsi="Times New Roman" w:eastAsiaTheme="minorEastAsia"/>
                <w:sz w:val="24"/>
              </w:rPr>
            </w:pPr>
            <w:r>
              <w:rPr>
                <w:rFonts w:ascii="Times New Roman" w:hAnsi="Times New Roman" w:eastAsiaTheme="minorEastAsia"/>
                <w:b/>
                <w:bCs/>
                <w:sz w:val="24"/>
              </w:rPr>
              <w:t>表8-1环评批复落实情况</w:t>
            </w:r>
          </w:p>
          <w:tbl>
            <w:tblPr>
              <w:tblStyle w:val="22"/>
              <w:tblW w:w="87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660"/>
              <w:gridCol w:w="3528"/>
              <w:gridCol w:w="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05"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序号</w:t>
                  </w:r>
                </w:p>
              </w:tc>
              <w:tc>
                <w:tcPr>
                  <w:tcW w:w="3660"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环评审批意见</w:t>
                  </w:r>
                </w:p>
              </w:tc>
              <w:tc>
                <w:tcPr>
                  <w:tcW w:w="3528"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落实情况</w:t>
                  </w:r>
                </w:p>
              </w:tc>
              <w:tc>
                <w:tcPr>
                  <w:tcW w:w="881"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1</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该建项目建设地点为黑龙江桦川经济开发区内。该项目为新建项目。建设内容:本项目建设内容主要包括办公室、拆解车间和仓库，项目建成后形成年回收拆解1000台报废农用机的生产规模，项目不进行回收/拆解报废机动车、不回收废金属及加工。</w:t>
                  </w:r>
                </w:p>
              </w:tc>
              <w:tc>
                <w:tcPr>
                  <w:tcW w:w="3528"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该建项目建设地点为黑龙江桦川经济开发区内。该项目为新建项目。建设内容:本项目建设内容主要包括办公室、拆解车间和仓库，项目建成后形成年回收拆解1000台报废农用机的生产规模，项目不进行回收/拆解报废机动车、不回收废金属及加工。</w:t>
                  </w:r>
                </w:p>
              </w:tc>
              <w:tc>
                <w:tcPr>
                  <w:tcW w:w="881" w:type="dxa"/>
                  <w:tcBorders>
                    <w:tl2br w:val="nil"/>
                    <w:tr2bl w:val="nil"/>
                  </w:tcBorders>
                  <w:vAlign w:val="center"/>
                </w:tcPr>
                <w:p>
                  <w:pPr>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2</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根据该《报告表》结论，在《报告表》内容真实可信的前提下，在认真落实《报告表》提出的各项环境保护防治措施的情况下，从环境保护角度分析，同意本项目在拟定地址建设。《报告表》可以作为项目实施、验收和环境管理的依据。</w:t>
                  </w:r>
                </w:p>
              </w:tc>
              <w:tc>
                <w:tcPr>
                  <w:tcW w:w="3528" w:type="dxa"/>
                  <w:tcBorders>
                    <w:tl2br w:val="nil"/>
                    <w:tr2bl w:val="nil"/>
                  </w:tcBorders>
                  <w:vAlign w:val="center"/>
                </w:tcPr>
                <w:p>
                  <w:pPr>
                    <w:pStyle w:val="31"/>
                    <w:spacing w:line="240" w:lineRule="auto"/>
                    <w:jc w:val="both"/>
                    <w:rPr>
                      <w:rFonts w:ascii="Times New Roman" w:hAnsi="Times New Roman" w:eastAsiaTheme="minorEastAsia"/>
                      <w:kern w:val="2"/>
                    </w:rPr>
                  </w:pPr>
                  <w:r>
                    <w:rPr>
                      <w:rFonts w:ascii="Times New Roman" w:hAnsi="Times New Roman" w:eastAsiaTheme="minorEastAsia"/>
                    </w:rPr>
                    <w:t>根据该《报告表》结论，在《报告表》内容真实可信的前提下，在认真落实《报告表》提出的各项环境保护防治措施的情况下，从环境保护角度分析，同意本项目在拟定地址建设。《报告表》可以作为项目实施、验收和环境管理的依据。</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3</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该项目要切实落实《报告表》中提出的环境保护措施，确保该项目所产生的各类污染物能够稳定达标排放。</w:t>
                  </w:r>
                </w:p>
              </w:tc>
              <w:tc>
                <w:tcPr>
                  <w:tcW w:w="3528" w:type="dxa"/>
                  <w:tcBorders>
                    <w:tl2br w:val="nil"/>
                    <w:tr2bl w:val="nil"/>
                  </w:tcBorders>
                  <w:vAlign w:val="center"/>
                </w:tcPr>
                <w:p>
                  <w:pPr>
                    <w:pStyle w:val="2"/>
                    <w:jc w:val="both"/>
                    <w:rPr>
                      <w:rFonts w:ascii="Times New Roman" w:hAnsi="Times New Roman" w:eastAsiaTheme="minorEastAsia"/>
                      <w:color w:val="auto"/>
                      <w:kern w:val="2"/>
                      <w:sz w:val="21"/>
                      <w:szCs w:val="21"/>
                    </w:rPr>
                  </w:pPr>
                  <w:r>
                    <w:rPr>
                      <w:rFonts w:ascii="Times New Roman" w:hAnsi="Times New Roman" w:eastAsiaTheme="minorEastAsia"/>
                      <w:color w:val="auto"/>
                      <w:sz w:val="21"/>
                      <w:szCs w:val="21"/>
                    </w:rPr>
                    <w:t>该项目要切实落实《报告表》中提出的环境保护措施，确保该项目所产生的各类污染物能够稳定达标排放。</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4</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加强对水环境的保护。项目废水主要为生活污水，员工生活产生的生活污水，满足《污水综合排放标准》(GB8978-1996）三级标准，排入市政管网。</w:t>
                  </w:r>
                </w:p>
              </w:tc>
              <w:tc>
                <w:tcPr>
                  <w:tcW w:w="3528" w:type="dxa"/>
                  <w:tcBorders>
                    <w:tl2br w:val="nil"/>
                    <w:tr2bl w:val="nil"/>
                  </w:tcBorders>
                  <w:vAlign w:val="center"/>
                </w:tcPr>
                <w:p>
                  <w:pPr>
                    <w:rPr>
                      <w:rFonts w:ascii="Times New Roman" w:hAnsi="Times New Roman" w:eastAsiaTheme="minorEastAsia"/>
                      <w:szCs w:val="21"/>
                    </w:rPr>
                  </w:pPr>
                  <w:r>
                    <w:rPr>
                      <w:rFonts w:ascii="Times New Roman" w:hAnsi="Times New Roman" w:eastAsiaTheme="minorEastAsia"/>
                      <w:szCs w:val="21"/>
                    </w:rPr>
                    <w:t>加强对水环境的保护。项目废水主要为生活污水，员工生活产生的生活污水，满足《污水综合排放标准》(GB8978-1996）三级标准，排入市政管网。</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5</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把控固体废物污染措施。项目固体废物主要为生活垃圾、一般固废及危险废物。厂内生活垃圾经收集后定期由桦川县中峰城巿环境服务有限公司清运。拆解产物分类后余下的无利用价值的废革片、土屑等，为一般固废，此类废物集中收集后与生活垃圾一同交由桦川县中峰城市环境服务有限公司清运处理。</w:t>
                  </w:r>
                </w:p>
              </w:tc>
              <w:tc>
                <w:tcPr>
                  <w:tcW w:w="3528" w:type="dxa"/>
                  <w:tcBorders>
                    <w:tl2br w:val="nil"/>
                    <w:tr2bl w:val="nil"/>
                  </w:tcBorders>
                  <w:vAlign w:val="center"/>
                </w:tcPr>
                <w:p>
                  <w:pPr>
                    <w:rPr>
                      <w:rFonts w:ascii="Times New Roman" w:hAnsi="Times New Roman" w:eastAsiaTheme="minorEastAsia"/>
                      <w:szCs w:val="21"/>
                    </w:rPr>
                  </w:pPr>
                  <w:r>
                    <w:rPr>
                      <w:rFonts w:ascii="Times New Roman" w:hAnsi="Times New Roman" w:eastAsiaTheme="minorEastAsia"/>
                      <w:szCs w:val="21"/>
                    </w:rPr>
                    <w:t>项目固体废物主要为生活垃圾、一般固废及危险废物。厂内生活垃圾经收集后定期由桦川县中峰城巿环境服务有限公司清运。拆解产物分类后余下的无利用价值的废革片、土屑等，为一般固废，此类废物集中收集后与生活垃圾一同交由桦川县中峰城市环境服务有限公司清运处理。</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6</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本项目使用布袋除尘器，布袋使用寿命为1-3年，定期检查，发现损坏及时更换，收集后由桦川县中峰城市环境服务有限公司定期清运。</w:t>
                  </w:r>
                </w:p>
              </w:tc>
              <w:tc>
                <w:tcPr>
                  <w:tcW w:w="3528" w:type="dxa"/>
                  <w:tcBorders>
                    <w:tl2br w:val="nil"/>
                    <w:tr2bl w:val="nil"/>
                  </w:tcBorders>
                  <w:vAlign w:val="center"/>
                </w:tcPr>
                <w:p>
                  <w:pPr>
                    <w:rPr>
                      <w:rFonts w:ascii="Times New Roman" w:hAnsi="Times New Roman" w:eastAsiaTheme="minorEastAsia"/>
                      <w:szCs w:val="21"/>
                    </w:rPr>
                  </w:pPr>
                  <w:r>
                    <w:rPr>
                      <w:rFonts w:ascii="Times New Roman" w:hAnsi="Times New Roman" w:eastAsiaTheme="minorEastAsia"/>
                      <w:szCs w:val="21"/>
                    </w:rPr>
                    <w:t>本项目使用布袋除尘器，布袋使用寿命为1-3年，定期检查，发现损坏及时更换，收集后由桦川县中峰城市环境服务有限公司定期清运。</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7</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本项目切割过程中产生的铁屑约为2t/a,集中收集后由桦川县中峰城市环境服务有限公司定期清运，定期卖给回收单位。</w:t>
                  </w:r>
                </w:p>
              </w:tc>
              <w:tc>
                <w:tcPr>
                  <w:tcW w:w="3528" w:type="dxa"/>
                  <w:tcBorders>
                    <w:tl2br w:val="nil"/>
                    <w:tr2bl w:val="nil"/>
                  </w:tcBorders>
                  <w:vAlign w:val="center"/>
                </w:tcPr>
                <w:p>
                  <w:pPr>
                    <w:rPr>
                      <w:rFonts w:ascii="Times New Roman" w:hAnsi="Times New Roman" w:eastAsiaTheme="minorEastAsia"/>
                      <w:szCs w:val="21"/>
                    </w:rPr>
                  </w:pPr>
                  <w:r>
                    <w:rPr>
                      <w:rFonts w:ascii="Times New Roman" w:hAnsi="Times New Roman" w:eastAsiaTheme="minorEastAsia"/>
                      <w:szCs w:val="21"/>
                    </w:rPr>
                    <w:t>本项目切割过程中产生的铁屑约为2t/a,集中收集后由桦川县中峰城市环境服务有限公司定期清运，定期卖给回收单位。</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8</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拆解预处理时放净的废油液、含油抹布和手套、拆下的废铅酸蓄电池为危险废物。此类废物属于危险废物。本项目仅拆下蓄电池，不对蓄电池进行拆解，经收集后暂存于危废暂存间，定期交有资质单位处理。</w:t>
                  </w:r>
                </w:p>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废矿物油类主要产生于发动机与变速箱废油放净;此外，报废农机因长期使用某些部位积存油垢，拆解时作干清理;拆解区地面不定期清理油垢;主要为废润滑油、废机油和废柴油，内燃机、汽车、轮船等集中拆解过程产生的废矿物油及油泥，经收集后暂存于危废暂存间，定期交有资质单位处理。在清理油垢时会产生含油抹布和手套，本项目产生约1t含油抹布和手套HW49 (900-041-49）含有或沾染毒性、感染性危险废物的废弃包装物、容器、过滤吸附介质，经收集后暂存于危废暂存间，定期交有资质单位处理。</w:t>
                  </w:r>
                </w:p>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项目活性炭吸附装置定期更换活性炭会产生废活性炭。年更换活性炭1次，经分类收集后暂存于其他危废暂存间，定期交有资质单位处理。</w:t>
                  </w:r>
                </w:p>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废油放净过程会产生部分废防冻液“HWO6废有机溶剂与含有机溶剂废物”中的“900-404-06 工业生产中作为清洗剂、萃取剂、溶剂或反应介质使用后废弃的其他列入《危险化学品目录》的有机.溶剂，以及在使用前混合的含有一种或多种上述溶剂的混合/调和溶剂”，经分类收集后暂存于废油液暂存间，定期交有资质单位处理。</w:t>
                  </w:r>
                </w:p>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根据类比同类项目，拆解过程产生1000个废电路板，此类废物属于危险废物，本项目仅拆下电路板，不对电路板进行拆解。</w:t>
                  </w:r>
                </w:p>
              </w:tc>
              <w:tc>
                <w:tcPr>
                  <w:tcW w:w="3528"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拆解预处理时放净的废油液、含油抹布和手套、拆下的废铅酸蓄电池为危险废物。此类废物属于危险废物。本项目仅拆下蓄电池，不对蓄电池进行拆解，经收集后暂存于危废暂存间，定期交佳木斯龙江环保再生资源有限公司处置处理。</w:t>
                  </w:r>
                </w:p>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废矿物油类主要产生于发动机与变速箱废油放净;此外，报废农机因长期使用某些部位积存油垢，拆解时作干清理;拆解区地面不定期清理油垢;主要为废润滑油、废机油和废柴油，内燃机、汽车、轮船等集中拆解过程产生的废矿物油及油泥，经收集后暂存于危废暂存间，定期交佳木斯市郊区恒坤废油再生处理厂处理。在清理油垢时会产生含油抹布和手套，本项目产生约1t含油抹布和手套HW49 (900-041-49）含有或沾染毒性、感染性危险废物的废弃包装物、容器、过滤吸附介质，经收集后暂存于危废暂存间，定期交佳木斯龙江环保再生资源有限公司处置处理。</w:t>
                  </w:r>
                </w:p>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项目活性炭吸附装置定期更换活性炭会产生废活性炭。年更换活性炭1次，经分类收集后暂存于其他危废暂存间，定期交佳木斯龙江环保再生资源有限公司处置处理。</w:t>
                  </w:r>
                </w:p>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废油放净过程会产生部分废防冻液“HWO6废有机溶剂与含有机溶剂废物”中的“900-404-06 工业生产中作为清洗剂、萃取剂、溶剂或反应介质使用后废弃的其他列入《危险化学品目录》的有机.溶剂，以及在使用前混合的含有一种或多种上述溶剂的混合/调和溶剂”，经分类收集后暂存于废油液暂存间，定期交佳木斯龙江环保再生资源有限公司处置处理。</w:t>
                  </w:r>
                </w:p>
                <w:p>
                  <w:pPr>
                    <w:rPr>
                      <w:rFonts w:ascii="Times New Roman" w:hAnsi="Times New Roman" w:eastAsiaTheme="minorEastAsia"/>
                      <w:szCs w:val="21"/>
                    </w:rPr>
                  </w:pPr>
                  <w:r>
                    <w:rPr>
                      <w:rFonts w:ascii="Times New Roman" w:hAnsi="Times New Roman" w:eastAsiaTheme="minorEastAsia"/>
                      <w:szCs w:val="21"/>
                    </w:rPr>
                    <w:t>根据类比同类项目，拆解过程产生1000个废电路板，此类废物属于危险废物，本项目仅拆下电路板，不对电路板进行拆解。</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9</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做好大气污染防治工作。本项目预处理过程挥发废气有组织排放经活性炭吸附装置由15m高排气筒，切割废气经布袋除尘器由15m高排气筒，应达标排放。废油液挥发产生的VOCs无组织排放，切割粉尘经封闭式厂房阻隔后无组织排放，项目无组织排放废气粉尘排放浓度能够满足《大气污染物综合排放标准》(GB16297-1996）表2中无组织排放监控浓度限值要求。厂区内厂房外有机废气排放满足《挥发性有机物无组织排放控制标准》(GB37822-2019）附录A中厂区内VOCs无组织排放监控要求。</w:t>
                  </w:r>
                </w:p>
              </w:tc>
              <w:tc>
                <w:tcPr>
                  <w:tcW w:w="3528" w:type="dxa"/>
                  <w:tcBorders>
                    <w:tl2br w:val="nil"/>
                    <w:tr2bl w:val="nil"/>
                  </w:tcBorders>
                  <w:vAlign w:val="center"/>
                </w:tcPr>
                <w:p>
                  <w:pPr>
                    <w:rPr>
                      <w:rFonts w:ascii="Times New Roman" w:hAnsi="Times New Roman" w:eastAsiaTheme="minorEastAsia"/>
                      <w:szCs w:val="21"/>
                    </w:rPr>
                  </w:pPr>
                  <w:r>
                    <w:rPr>
                      <w:rFonts w:ascii="Times New Roman" w:hAnsi="Times New Roman" w:eastAsiaTheme="minorEastAsia"/>
                      <w:szCs w:val="21"/>
                    </w:rPr>
                    <w:t>做好大气污染防治工作。本项目预处理过程挥发废气有组织排放经活性炭吸附装置由15m高排气筒，切割废气经布袋除尘器由15m高排气筒，应达标排放。废油液挥发产生的VOCs无组织排放，切割粉尘经封闭式厂房阻隔后无组织排放，项目无组织排放废气粉尘排放浓度能够满足《大气污染物综合排放标准》(GB16297-1996）表2中无组织排放监控浓度限值要求。厂区内厂房外有机废气排放满足《挥发性有机物无组织排放控制标准》(GB37822-2019）附录A中厂区内VOCs无组织排放监控要求。</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10</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落实各项噪声污染防治措施。本项目投产后，通过对厂内高噪声设备采取减振处理等防治措施，并经过厂房隔声，对于钢铁装卸产生的偶发性噪声，在装卸过程中尽量做到轻拿轻放，西侧厂界噪声可满足《工业企业厂界环境噪声排放标准》(GB12348-2008）中4a类标准限值要求，南侧、北侧、东侧噪声排放执行《工业企业厂界环境噪声排放标准》(GB12348-2008）中的3类标准。</w:t>
                  </w:r>
                </w:p>
              </w:tc>
              <w:tc>
                <w:tcPr>
                  <w:tcW w:w="3528" w:type="dxa"/>
                  <w:tcBorders>
                    <w:tl2br w:val="nil"/>
                    <w:tr2bl w:val="nil"/>
                  </w:tcBorders>
                  <w:vAlign w:val="center"/>
                </w:tcPr>
                <w:p>
                  <w:pPr>
                    <w:rPr>
                      <w:rFonts w:ascii="Times New Roman" w:hAnsi="Times New Roman" w:eastAsiaTheme="minorEastAsia"/>
                      <w:szCs w:val="21"/>
                    </w:rPr>
                  </w:pPr>
                  <w:r>
                    <w:rPr>
                      <w:rFonts w:ascii="Times New Roman" w:hAnsi="Times New Roman" w:eastAsiaTheme="minorEastAsia"/>
                      <w:szCs w:val="21"/>
                    </w:rPr>
                    <w:t>落实各项噪声污染防治措施。本项目投产后，通过对厂内高噪声设备采取减振处理等防治措施，并经过厂房隔声，对于钢铁装卸产生的偶发性噪声，在装卸过程中尽量做到轻拿轻放，西侧厂界噪声可满足《工业企业厂界环境噪声排放标准》(GB12348-2008）中4a类标准限值要求，南侧、北侧、东侧噪声排放执行《工业企业厂界环境噪声排放标准》(GB12348-2008）中的3类标准。</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11</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佳木斯市桦川生态环境保护综合行政执法大队组织开展该建设项目环境保护事中事后监管工作。</w:t>
                  </w:r>
                </w:p>
              </w:tc>
              <w:tc>
                <w:tcPr>
                  <w:tcW w:w="3528" w:type="dxa"/>
                  <w:tcBorders>
                    <w:tl2br w:val="nil"/>
                    <w:tr2bl w:val="nil"/>
                  </w:tcBorders>
                  <w:vAlign w:val="center"/>
                </w:tcPr>
                <w:p>
                  <w:pPr>
                    <w:rPr>
                      <w:rFonts w:ascii="Times New Roman" w:hAnsi="Times New Roman" w:eastAsiaTheme="minorEastAsia"/>
                      <w:szCs w:val="21"/>
                    </w:rPr>
                  </w:pPr>
                  <w:r>
                    <w:rPr>
                      <w:rFonts w:ascii="Times New Roman" w:hAnsi="Times New Roman" w:eastAsiaTheme="minorEastAsia"/>
                      <w:szCs w:val="21"/>
                    </w:rPr>
                    <w:t>佳木斯市桦川生态环境保护综合行政执法大队组织开展该建设项目环境保护事中事后监管工作。</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12</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本项目建设要严格执行环境保护设施与主体工程同时设计、同时施工、同时投产使用的环境保护“三同时”制度。在启动生产设施或者在实际排污之前，建设单位应依法申请取得排污许可证或者填报排污登记表。项目建成后，应按规定程序申请竣工环境保护验收。经验收合格后，方可正式投入运营。</w:t>
                  </w:r>
                </w:p>
              </w:tc>
              <w:tc>
                <w:tcPr>
                  <w:tcW w:w="3528" w:type="dxa"/>
                  <w:tcBorders>
                    <w:tl2br w:val="nil"/>
                    <w:tr2bl w:val="nil"/>
                  </w:tcBorders>
                  <w:vAlign w:val="center"/>
                </w:tcPr>
                <w:p>
                  <w:pPr>
                    <w:rPr>
                      <w:rFonts w:ascii="Times New Roman" w:hAnsi="Times New Roman" w:eastAsiaTheme="minorEastAsia"/>
                      <w:szCs w:val="21"/>
                    </w:rPr>
                  </w:pPr>
                  <w:r>
                    <w:rPr>
                      <w:rFonts w:ascii="Times New Roman" w:hAnsi="Times New Roman" w:eastAsiaTheme="minorEastAsia"/>
                      <w:szCs w:val="21"/>
                    </w:rPr>
                    <w:t>本项目建设要严格执行环境保护设施与主体工程同时设计、同时施工、同时投产使用的环境保护“三同时”制度。在启动生产设施或者在实际排污之前，建设单位应依法申请取得排污许可证或者填报排污登记表。项目建成后，应按规定程序申请竣工环境保护验收。经验收合格后，方可正式投入运营。</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05"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13</w:t>
                  </w:r>
                </w:p>
              </w:tc>
              <w:tc>
                <w:tcPr>
                  <w:tcW w:w="3660" w:type="dxa"/>
                  <w:tcBorders>
                    <w:tl2br w:val="nil"/>
                    <w:tr2bl w:val="nil"/>
                  </w:tcBorders>
                  <w:vAlign w:val="center"/>
                </w:tcPr>
                <w:p>
                  <w:pPr>
                    <w:pStyle w:val="2"/>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环境影响报告表经批准后，项目的性质、规模、地点或者防治污染的措施发生重大变动的，应当重新报批该项目的环境影响报告表。自环境影响报告表批复文件批准之日起，如超过5年方决定开工建设的，环境影响报告表应当重新审核。</w:t>
                  </w:r>
                </w:p>
              </w:tc>
              <w:tc>
                <w:tcPr>
                  <w:tcW w:w="3528" w:type="dxa"/>
                  <w:tcBorders>
                    <w:tl2br w:val="nil"/>
                    <w:tr2bl w:val="nil"/>
                  </w:tcBorders>
                  <w:vAlign w:val="center"/>
                </w:tcPr>
                <w:p>
                  <w:pPr>
                    <w:rPr>
                      <w:rFonts w:ascii="Times New Roman" w:hAnsi="Times New Roman" w:eastAsiaTheme="minorEastAsia"/>
                      <w:szCs w:val="21"/>
                    </w:rPr>
                  </w:pPr>
                  <w:r>
                    <w:rPr>
                      <w:rFonts w:ascii="Times New Roman" w:hAnsi="Times New Roman" w:eastAsiaTheme="minorEastAsia"/>
                      <w:szCs w:val="21"/>
                    </w:rPr>
                    <w:t>环境影响报告表经批准后，项目的性质、规模、地点或者防治污染的措施发生重大变动的，应当重新报批该项目的环境影响报告表。自环境影响报告表批复文件批准之日起，如超过5年方决定开工建设的，环境影响报告表应当重新审核。</w:t>
                  </w:r>
                </w:p>
              </w:tc>
              <w:tc>
                <w:tcPr>
                  <w:tcW w:w="881" w:type="dxa"/>
                  <w:tcBorders>
                    <w:tl2br w:val="nil"/>
                    <w:tr2bl w:val="nil"/>
                  </w:tcBorders>
                  <w:vAlign w:val="center"/>
                </w:tcPr>
                <w:p>
                  <w:pPr>
                    <w:widowControl/>
                    <w:jc w:val="center"/>
                    <w:rPr>
                      <w:rFonts w:ascii="Times New Roman" w:hAnsi="Times New Roman" w:eastAsiaTheme="minorEastAsia"/>
                      <w:szCs w:val="21"/>
                    </w:rPr>
                  </w:pPr>
                  <w:r>
                    <w:rPr>
                      <w:rFonts w:ascii="Times New Roman" w:hAnsi="Times New Roman" w:eastAsiaTheme="minorEastAsia"/>
                      <w:szCs w:val="21"/>
                    </w:rPr>
                    <w:t>已落实</w:t>
                  </w:r>
                </w:p>
              </w:tc>
            </w:tr>
          </w:tbl>
          <w:p>
            <w:pPr>
              <w:pStyle w:val="2"/>
              <w:spacing w:line="360" w:lineRule="auto"/>
              <w:jc w:val="both"/>
              <w:outlineLvl w:val="1"/>
              <w:rPr>
                <w:rFonts w:ascii="Times New Roman" w:hAnsi="Times New Roman" w:eastAsiaTheme="minorEastAsia"/>
                <w:b/>
                <w:bCs/>
                <w:color w:val="auto"/>
              </w:rPr>
            </w:pPr>
            <w:bookmarkStart w:id="70" w:name="_Toc29582"/>
            <w:r>
              <w:rPr>
                <w:rFonts w:ascii="Times New Roman" w:hAnsi="Times New Roman" w:eastAsiaTheme="minorEastAsia"/>
                <w:b/>
                <w:bCs/>
                <w:color w:val="auto"/>
              </w:rPr>
              <w:t>二、固体废物处置及综合利用检查</w:t>
            </w:r>
          </w:p>
          <w:p>
            <w:pPr>
              <w:pStyle w:val="26"/>
              <w:ind w:firstLine="480"/>
              <w:rPr>
                <w:rFonts w:ascii="Times New Roman" w:hAnsi="Times New Roman" w:eastAsiaTheme="minorEastAsia"/>
                <w:color w:val="FF0000"/>
                <w:sz w:val="24"/>
                <w:szCs w:val="24"/>
              </w:rPr>
            </w:pPr>
            <w:r>
              <w:rPr>
                <w:rFonts w:ascii="Times New Roman" w:hAnsi="Times New Roman" w:eastAsiaTheme="minorEastAsia"/>
                <w:sz w:val="24"/>
                <w:szCs w:val="24"/>
              </w:rPr>
              <w:t>运营期生活垃圾、废革片、土屑等由市政环卫部门统一处理；废铅酸蓄电池、废油液、废电路板、废防冻液、废活性炭分类收集的含油抹布及手套等属于危险废物，依托厂区现有危废暂存间暂存，废油液委托佳木斯市郊区恒坤废油再生处理厂处置，其余委托佳木斯龙江环保再生资源有限公司处置。</w:t>
            </w:r>
            <w:bookmarkEnd w:id="70"/>
          </w:p>
        </w:tc>
      </w:tr>
    </w:tbl>
    <w:p>
      <w:pPr>
        <w:outlineLvl w:val="0"/>
        <w:rPr>
          <w:rFonts w:ascii="Times New Roman" w:hAnsi="Times New Roman" w:eastAsiaTheme="minorEastAsia"/>
          <w:b/>
          <w:bCs/>
          <w:color w:val="FF0000"/>
          <w:sz w:val="28"/>
          <w:szCs w:val="28"/>
        </w:rPr>
        <w:sectPr>
          <w:footerReference r:id="rId5" w:type="default"/>
          <w:pgSz w:w="11907" w:h="16840"/>
          <w:pgMar w:top="1304" w:right="1531" w:bottom="1304" w:left="1531" w:header="284" w:footer="851" w:gutter="0"/>
          <w:cols w:space="720" w:num="1"/>
          <w:docGrid w:linePitch="286" w:charSpace="0"/>
        </w:sectPr>
      </w:pPr>
      <w:bookmarkStart w:id="71" w:name="_Toc36153658"/>
      <w:bookmarkStart w:id="72" w:name="_Toc16216"/>
      <w:bookmarkStart w:id="73" w:name="_Toc4040"/>
      <w:bookmarkStart w:id="74" w:name="_Toc8082"/>
      <w:bookmarkStart w:id="75" w:name="_Toc2612"/>
      <w:bookmarkStart w:id="76" w:name="_Toc25822"/>
      <w:bookmarkStart w:id="77" w:name="_Toc28843"/>
      <w:bookmarkStart w:id="78" w:name="_Toc12426"/>
      <w:bookmarkStart w:id="79" w:name="_Toc4056"/>
      <w:bookmarkStart w:id="80" w:name="_Toc29574"/>
      <w:bookmarkStart w:id="81" w:name="_Toc21841"/>
      <w:bookmarkStart w:id="82" w:name="_Toc29244"/>
      <w:bookmarkStart w:id="83" w:name="_Toc10574"/>
      <w:bookmarkStart w:id="84" w:name="_Toc26682"/>
      <w:bookmarkStart w:id="85" w:name="_Toc23018"/>
      <w:bookmarkStart w:id="86" w:name="_Toc113675814"/>
      <w:bookmarkStart w:id="87" w:name="_Toc117141411"/>
      <w:bookmarkStart w:id="88" w:name="_Toc114640586"/>
      <w:bookmarkStart w:id="89" w:name="_Toc143657506"/>
      <w:bookmarkStart w:id="90" w:name="_Toc116952712"/>
      <w:bookmarkStart w:id="91" w:name="_Toc113674657"/>
    </w:p>
    <w:p>
      <w:pPr>
        <w:outlineLvl w:val="0"/>
        <w:rPr>
          <w:rFonts w:ascii="Times New Roman" w:hAnsi="Times New Roman" w:eastAsiaTheme="minorEastAsia"/>
          <w:b/>
          <w:bCs/>
          <w:sz w:val="28"/>
          <w:szCs w:val="28"/>
        </w:rPr>
      </w:pPr>
      <w:r>
        <w:rPr>
          <w:rFonts w:ascii="Times New Roman" w:hAnsi="Times New Roman" w:eastAsiaTheme="minorEastAsia"/>
          <w:b/>
          <w:bCs/>
          <w:sz w:val="28"/>
          <w:szCs w:val="28"/>
        </w:rPr>
        <w:t>表十其他需要说明的事项</w:t>
      </w:r>
      <w:bookmarkEnd w:id="71"/>
    </w:p>
    <w:tbl>
      <w:tblPr>
        <w:tblStyle w:val="22"/>
        <w:tblW w:w="900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3" w:hRule="atLeast"/>
        </w:trPr>
        <w:tc>
          <w:tcPr>
            <w:tcW w:w="9000" w:type="dxa"/>
          </w:tcPr>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一、环境保护设施设计、施工和验收过程简况</w:t>
            </w:r>
          </w:p>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1、施工简况：</w:t>
            </w:r>
          </w:p>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项目施工前，建设单位委托相关单位依据环评文件要求完成了废气、废水、噪声及固废治理措施的设计。施工期施工单位在扬尘控制、运输车辆尾气，施工废水及施工人员生活污水，噪声，建筑垃圾及包装废物等方面都采取了有效的环保措施，基本达到预期的防治效果。施工过程中施工单位依据设计文件完成了废气、噪声设施的建设。</w:t>
            </w:r>
          </w:p>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2、验收过程简介</w:t>
            </w:r>
          </w:p>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项目于2022年12月竣工，于2022年12月启动验收工作，工程营运阶段的主要环境影响为废气、噪声、固废。本项目采取了有效的治理及处置措施。</w:t>
            </w:r>
            <w:r>
              <w:rPr>
                <w:rFonts w:ascii="Times New Roman" w:hAnsi="Times New Roman" w:eastAsiaTheme="minorEastAsia"/>
                <w:bCs/>
                <w:sz w:val="24"/>
                <w:szCs w:val="24"/>
              </w:rPr>
              <w:t>黑龙江远辰科技产业有限公司</w:t>
            </w:r>
            <w:r>
              <w:rPr>
                <w:rFonts w:ascii="Times New Roman" w:hAnsi="Times New Roman" w:eastAsiaTheme="minorEastAsia"/>
                <w:sz w:val="24"/>
                <w:szCs w:val="24"/>
              </w:rPr>
              <w:t>于2022年12月18日、19日委托黑龙江省华谱监测科技有限公司进行监测，监测单位具有相应的CMA监测资质，所有项目参加人员均持证上岗，所有监测仪器设备都经过计量部门检定，并在检定有效期内，大气测定前仪器全部经过校正。</w:t>
            </w:r>
          </w:p>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验收监测期间，根据《污染影响类建设项目重大变动清单（试行）》的通知环办环评函〔2020〕688号的相关要求，本项目的性质、规模、地点、生产工艺和环境保护措施五个因素未发生重大变动，因此本工程无重大变动。</w:t>
            </w:r>
          </w:p>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3、公众反馈意见及处理情况</w:t>
            </w:r>
          </w:p>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项目设计、施工和验收监测期间均未收到公众反馈意见或投诉、反馈。</w:t>
            </w:r>
          </w:p>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二、其他环境保护措施的落实情况</w:t>
            </w:r>
          </w:p>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本单位制定了《环境管理制度》设立环境保护领导小组，厂长为工作小组组长，负责环境保护全面工作，具体负责环保工作的管理人员为厂区内工作人员。环境管理制度见附件。</w:t>
            </w:r>
          </w:p>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本项目验收监测期间，已完成应急预案备案工作。</w:t>
            </w:r>
          </w:p>
          <w:p>
            <w:pPr>
              <w:pStyle w:val="26"/>
              <w:ind w:firstLine="480"/>
              <w:rPr>
                <w:rFonts w:ascii="Times New Roman" w:hAnsi="Times New Roman" w:eastAsiaTheme="minorEastAsia"/>
                <w:sz w:val="24"/>
                <w:szCs w:val="24"/>
              </w:rPr>
            </w:pPr>
            <w:r>
              <w:rPr>
                <w:rFonts w:ascii="Times New Roman" w:hAnsi="Times New Roman" w:eastAsiaTheme="minorEastAsia"/>
                <w:sz w:val="24"/>
                <w:szCs w:val="24"/>
              </w:rPr>
              <w:t>本项目配备日常监测负责人，负责聘请有资质单位对本项目噪声和废气污染物进行监测。</w:t>
            </w:r>
          </w:p>
          <w:p>
            <w:pPr>
              <w:pStyle w:val="26"/>
              <w:ind w:firstLine="0" w:firstLineChars="0"/>
              <w:rPr>
                <w:rFonts w:ascii="Times New Roman" w:hAnsi="Times New Roman" w:eastAsiaTheme="minorEastAsia"/>
                <w:color w:val="FF0000"/>
                <w:sz w:val="24"/>
                <w:szCs w:val="24"/>
              </w:rPr>
            </w:pPr>
          </w:p>
        </w:tc>
      </w:tr>
    </w:tbl>
    <w:p>
      <w:pPr>
        <w:pStyle w:val="2"/>
        <w:rPr>
          <w:rFonts w:ascii="Times New Roman" w:hAnsi="Times New Roman" w:eastAsiaTheme="minorEastAsia"/>
          <w:color w:val="FF0000"/>
        </w:rPr>
      </w:pPr>
    </w:p>
    <w:p>
      <w:pPr>
        <w:spacing w:line="300" w:lineRule="exact"/>
        <w:jc w:val="center"/>
        <w:outlineLvl w:val="0"/>
        <w:rPr>
          <w:rFonts w:ascii="Times New Roman" w:hAnsi="Times New Roman" w:eastAsiaTheme="minorEastAsia"/>
          <w:b/>
          <w:color w:val="FF0000"/>
          <w:sz w:val="24"/>
        </w:rPr>
        <w:sectPr>
          <w:pgSz w:w="11907" w:h="16840"/>
          <w:pgMar w:top="1304" w:right="1531" w:bottom="1304" w:left="1531" w:header="284" w:footer="851" w:gutter="0"/>
          <w:cols w:space="720" w:num="1"/>
          <w:docGrid w:linePitch="286" w:charSpace="0"/>
        </w:sectPr>
      </w:pPr>
    </w:p>
    <w:p>
      <w:pPr>
        <w:spacing w:line="300" w:lineRule="exact"/>
        <w:jc w:val="center"/>
        <w:outlineLvl w:val="0"/>
        <w:rPr>
          <w:rFonts w:ascii="Times New Roman" w:hAnsi="Times New Roman" w:eastAsiaTheme="minorEastAsia"/>
          <w:sz w:val="24"/>
        </w:rPr>
      </w:pPr>
      <w:r>
        <w:rPr>
          <w:rFonts w:ascii="Times New Roman" w:hAnsi="Times New Roman" w:eastAsiaTheme="minorEastAsia"/>
          <w:sz w:val="24"/>
        </w:rPr>
        <w:t>表十一建设项目工程竣工环境保护“三同时”验收登记表</w:t>
      </w:r>
      <w:bookmarkEnd w:id="72"/>
      <w:bookmarkEnd w:id="73"/>
      <w:bookmarkEnd w:id="74"/>
      <w:bookmarkEnd w:id="75"/>
      <w:bookmarkEnd w:id="76"/>
      <w:bookmarkEnd w:id="77"/>
      <w:bookmarkEnd w:id="78"/>
      <w:bookmarkEnd w:id="79"/>
      <w:bookmarkEnd w:id="80"/>
      <w:bookmarkEnd w:id="81"/>
      <w:bookmarkEnd w:id="82"/>
      <w:bookmarkEnd w:id="83"/>
      <w:bookmarkEnd w:id="84"/>
      <w:bookmarkEnd w:id="85"/>
    </w:p>
    <w:p>
      <w:pPr>
        <w:rPr>
          <w:rFonts w:ascii="Times New Roman" w:hAnsi="Times New Roman" w:eastAsiaTheme="minorEastAsia"/>
          <w:szCs w:val="21"/>
        </w:rPr>
      </w:pPr>
      <w:bookmarkStart w:id="92" w:name="_Toc27500"/>
      <w:r>
        <w:rPr>
          <w:rFonts w:ascii="Times New Roman" w:hAnsi="Times New Roman" w:eastAsiaTheme="minorEastAsia"/>
          <w:szCs w:val="21"/>
        </w:rPr>
        <w:t>填表单位（盖章）：黑龙江远辰科技产业有限公司填表人（签字）：项目经办人（签字）：</w:t>
      </w:r>
      <w:bookmarkEnd w:id="92"/>
    </w:p>
    <w:tbl>
      <w:tblPr>
        <w:tblStyle w:val="21"/>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082"/>
        <w:gridCol w:w="851"/>
        <w:gridCol w:w="761"/>
        <w:gridCol w:w="1418"/>
        <w:gridCol w:w="1127"/>
        <w:gridCol w:w="1014"/>
        <w:gridCol w:w="6"/>
        <w:gridCol w:w="526"/>
        <w:gridCol w:w="602"/>
        <w:gridCol w:w="1169"/>
        <w:gridCol w:w="1068"/>
        <w:gridCol w:w="1838"/>
        <w:gridCol w:w="1010"/>
        <w:gridCol w:w="725"/>
        <w:gridCol w:w="554"/>
        <w:gridCol w:w="1133"/>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exact"/>
          <w:jc w:val="center"/>
        </w:trPr>
        <w:tc>
          <w:tcPr>
            <w:tcW w:w="440" w:type="dxa"/>
            <w:vMerge w:val="restart"/>
            <w:textDirection w:val="tbRlV"/>
            <w:vAlign w:val="center"/>
          </w:tcPr>
          <w:p>
            <w:pPr>
              <w:ind w:left="113" w:right="113"/>
              <w:jc w:val="center"/>
              <w:rPr>
                <w:rFonts w:ascii="Times New Roman" w:hAnsi="Times New Roman" w:eastAsiaTheme="minorEastAsia"/>
                <w:sz w:val="15"/>
                <w:szCs w:val="15"/>
              </w:rPr>
            </w:pPr>
            <w:r>
              <w:rPr>
                <w:rFonts w:ascii="Times New Roman" w:hAnsi="Times New Roman" w:eastAsiaTheme="minorEastAsia"/>
                <w:sz w:val="15"/>
                <w:szCs w:val="15"/>
              </w:rPr>
              <w:t>建设项目</w:t>
            </w:r>
          </w:p>
        </w:tc>
        <w:tc>
          <w:tcPr>
            <w:tcW w:w="2107"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项目名称</w:t>
            </w:r>
          </w:p>
        </w:tc>
        <w:tc>
          <w:tcPr>
            <w:tcW w:w="5454" w:type="dxa"/>
            <w:gridSpan w:val="7"/>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报废农业机械回收拆解项目</w:t>
            </w:r>
          </w:p>
        </w:tc>
        <w:tc>
          <w:tcPr>
            <w:tcW w:w="2237"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项目代码</w:t>
            </w:r>
          </w:p>
        </w:tc>
        <w:tc>
          <w:tcPr>
            <w:tcW w:w="1838"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w:t>
            </w:r>
          </w:p>
        </w:tc>
        <w:tc>
          <w:tcPr>
            <w:tcW w:w="1735"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建设地点</w:t>
            </w:r>
          </w:p>
        </w:tc>
        <w:tc>
          <w:tcPr>
            <w:tcW w:w="2500"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哈尔滨市经开区哈平路集中区春晖路28号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exact"/>
          <w:jc w:val="center"/>
        </w:trPr>
        <w:tc>
          <w:tcPr>
            <w:tcW w:w="440" w:type="dxa"/>
            <w:vMerge w:val="continue"/>
            <w:vAlign w:val="center"/>
          </w:tcPr>
          <w:p>
            <w:pPr>
              <w:jc w:val="center"/>
              <w:rPr>
                <w:rFonts w:ascii="Times New Roman" w:hAnsi="Times New Roman" w:eastAsiaTheme="minorEastAsia"/>
                <w:color w:val="FF0000"/>
                <w:sz w:val="15"/>
                <w:szCs w:val="15"/>
              </w:rPr>
            </w:pPr>
          </w:p>
        </w:tc>
        <w:tc>
          <w:tcPr>
            <w:tcW w:w="2107"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行业类别（分类管理名录）</w:t>
            </w:r>
          </w:p>
        </w:tc>
        <w:tc>
          <w:tcPr>
            <w:tcW w:w="5454" w:type="dxa"/>
            <w:gridSpan w:val="7"/>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C42废旧资源综合利用业</w:t>
            </w:r>
          </w:p>
        </w:tc>
        <w:tc>
          <w:tcPr>
            <w:tcW w:w="2237"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建设性质</w:t>
            </w:r>
          </w:p>
        </w:tc>
        <w:tc>
          <w:tcPr>
            <w:tcW w:w="6073" w:type="dxa"/>
            <w:gridSpan w:val="6"/>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■新建□改扩建□技术改造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exact"/>
          <w:jc w:val="center"/>
        </w:trPr>
        <w:tc>
          <w:tcPr>
            <w:tcW w:w="440" w:type="dxa"/>
            <w:vMerge w:val="continue"/>
            <w:vAlign w:val="center"/>
          </w:tcPr>
          <w:p>
            <w:pPr>
              <w:jc w:val="center"/>
              <w:rPr>
                <w:rFonts w:ascii="Times New Roman" w:hAnsi="Times New Roman" w:eastAsiaTheme="minorEastAsia"/>
                <w:color w:val="FF0000"/>
                <w:sz w:val="15"/>
                <w:szCs w:val="15"/>
              </w:rPr>
            </w:pPr>
          </w:p>
        </w:tc>
        <w:tc>
          <w:tcPr>
            <w:tcW w:w="2107"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设计生产能力</w:t>
            </w:r>
          </w:p>
        </w:tc>
        <w:tc>
          <w:tcPr>
            <w:tcW w:w="5454" w:type="dxa"/>
            <w:gridSpan w:val="7"/>
            <w:vAlign w:val="center"/>
          </w:tcPr>
          <w:p>
            <w:pPr>
              <w:pStyle w:val="25"/>
              <w:spacing w:line="240" w:lineRule="auto"/>
              <w:rPr>
                <w:rFonts w:ascii="Times New Roman" w:hAnsi="Times New Roman" w:eastAsiaTheme="minorEastAsia"/>
                <w:kern w:val="2"/>
                <w:sz w:val="15"/>
                <w:szCs w:val="15"/>
              </w:rPr>
            </w:pPr>
            <w:r>
              <w:rPr>
                <w:rFonts w:ascii="Times New Roman" w:hAnsi="Times New Roman" w:eastAsiaTheme="minorEastAsia"/>
                <w:bCs/>
                <w:kern w:val="2"/>
                <w:sz w:val="15"/>
                <w:szCs w:val="15"/>
              </w:rPr>
              <w:t>年回收拆解1000台报废农用机</w:t>
            </w:r>
          </w:p>
        </w:tc>
        <w:tc>
          <w:tcPr>
            <w:tcW w:w="2237"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实际生产能力</w:t>
            </w:r>
          </w:p>
        </w:tc>
        <w:tc>
          <w:tcPr>
            <w:tcW w:w="1838" w:type="dxa"/>
            <w:vAlign w:val="center"/>
          </w:tcPr>
          <w:p>
            <w:pPr>
              <w:jc w:val="center"/>
              <w:rPr>
                <w:rFonts w:ascii="Times New Roman" w:hAnsi="Times New Roman" w:eastAsiaTheme="minorEastAsia"/>
                <w:sz w:val="15"/>
                <w:szCs w:val="15"/>
              </w:rPr>
            </w:pPr>
            <w:r>
              <w:rPr>
                <w:rFonts w:ascii="Times New Roman" w:hAnsi="Times New Roman" w:eastAsiaTheme="minorEastAsia"/>
                <w:bCs/>
                <w:sz w:val="15"/>
                <w:szCs w:val="15"/>
              </w:rPr>
              <w:t>年回收拆解1000台报废农用机</w:t>
            </w:r>
          </w:p>
        </w:tc>
        <w:tc>
          <w:tcPr>
            <w:tcW w:w="1735"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环评单位</w:t>
            </w:r>
          </w:p>
        </w:tc>
        <w:tc>
          <w:tcPr>
            <w:tcW w:w="2500"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哈尔滨泽生环境科技有限公司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exact"/>
          <w:jc w:val="center"/>
        </w:trPr>
        <w:tc>
          <w:tcPr>
            <w:tcW w:w="440" w:type="dxa"/>
            <w:vMerge w:val="continue"/>
            <w:vAlign w:val="center"/>
          </w:tcPr>
          <w:p>
            <w:pPr>
              <w:jc w:val="center"/>
              <w:rPr>
                <w:rFonts w:ascii="Times New Roman" w:hAnsi="Times New Roman" w:eastAsiaTheme="minorEastAsia"/>
                <w:color w:val="FF0000"/>
                <w:sz w:val="15"/>
                <w:szCs w:val="15"/>
              </w:rPr>
            </w:pPr>
          </w:p>
        </w:tc>
        <w:tc>
          <w:tcPr>
            <w:tcW w:w="2107"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环评文件审批机关</w:t>
            </w:r>
          </w:p>
        </w:tc>
        <w:tc>
          <w:tcPr>
            <w:tcW w:w="5454" w:type="dxa"/>
            <w:gridSpan w:val="7"/>
            <w:vAlign w:val="center"/>
          </w:tcPr>
          <w:p>
            <w:pPr>
              <w:jc w:val="center"/>
              <w:rPr>
                <w:rFonts w:ascii="Times New Roman" w:hAnsi="Times New Roman" w:eastAsiaTheme="minorEastAsia"/>
                <w:bCs/>
                <w:sz w:val="15"/>
                <w:szCs w:val="15"/>
              </w:rPr>
            </w:pPr>
            <w:r>
              <w:rPr>
                <w:rFonts w:ascii="Times New Roman" w:hAnsi="Times New Roman" w:eastAsiaTheme="minorEastAsia"/>
                <w:bCs/>
                <w:sz w:val="15"/>
                <w:szCs w:val="15"/>
              </w:rPr>
              <w:t>佳木斯市桦川生态环境局</w:t>
            </w:r>
          </w:p>
        </w:tc>
        <w:tc>
          <w:tcPr>
            <w:tcW w:w="2237" w:type="dxa"/>
            <w:gridSpan w:val="2"/>
            <w:vAlign w:val="center"/>
          </w:tcPr>
          <w:p>
            <w:pPr>
              <w:jc w:val="center"/>
              <w:rPr>
                <w:rFonts w:ascii="Times New Roman" w:hAnsi="Times New Roman" w:eastAsiaTheme="minorEastAsia"/>
                <w:bCs/>
                <w:sz w:val="15"/>
                <w:szCs w:val="15"/>
              </w:rPr>
            </w:pPr>
            <w:r>
              <w:rPr>
                <w:rFonts w:ascii="Times New Roman" w:hAnsi="Times New Roman" w:eastAsiaTheme="minorEastAsia"/>
                <w:bCs/>
                <w:sz w:val="15"/>
                <w:szCs w:val="15"/>
              </w:rPr>
              <w:t>审批文号</w:t>
            </w:r>
          </w:p>
        </w:tc>
        <w:tc>
          <w:tcPr>
            <w:tcW w:w="1838" w:type="dxa"/>
            <w:vAlign w:val="center"/>
          </w:tcPr>
          <w:p>
            <w:pPr>
              <w:jc w:val="center"/>
              <w:rPr>
                <w:rFonts w:ascii="Times New Roman" w:hAnsi="Times New Roman" w:eastAsiaTheme="minorEastAsia"/>
                <w:bCs/>
                <w:sz w:val="15"/>
                <w:szCs w:val="15"/>
              </w:rPr>
            </w:pPr>
            <w:r>
              <w:rPr>
                <w:rFonts w:ascii="Times New Roman" w:hAnsi="Times New Roman" w:eastAsiaTheme="minorEastAsia"/>
                <w:sz w:val="15"/>
                <w:szCs w:val="15"/>
              </w:rPr>
              <w:t>佳桦环建审〔2022)33号</w:t>
            </w:r>
          </w:p>
        </w:tc>
        <w:tc>
          <w:tcPr>
            <w:tcW w:w="1735"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环评文件类型</w:t>
            </w:r>
          </w:p>
        </w:tc>
        <w:tc>
          <w:tcPr>
            <w:tcW w:w="2500"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40" w:type="dxa"/>
            <w:vMerge w:val="continue"/>
            <w:vAlign w:val="center"/>
          </w:tcPr>
          <w:p>
            <w:pPr>
              <w:jc w:val="center"/>
              <w:rPr>
                <w:rFonts w:ascii="Times New Roman" w:hAnsi="Times New Roman" w:eastAsiaTheme="minorEastAsia"/>
                <w:color w:val="FF0000"/>
                <w:sz w:val="15"/>
                <w:szCs w:val="15"/>
              </w:rPr>
            </w:pPr>
          </w:p>
        </w:tc>
        <w:tc>
          <w:tcPr>
            <w:tcW w:w="2107"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开工日期</w:t>
            </w:r>
          </w:p>
        </w:tc>
        <w:tc>
          <w:tcPr>
            <w:tcW w:w="5454" w:type="dxa"/>
            <w:gridSpan w:val="7"/>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2022.12</w:t>
            </w:r>
          </w:p>
        </w:tc>
        <w:tc>
          <w:tcPr>
            <w:tcW w:w="2237"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竣工日期</w:t>
            </w:r>
          </w:p>
        </w:tc>
        <w:tc>
          <w:tcPr>
            <w:tcW w:w="1838"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2022.12</w:t>
            </w:r>
          </w:p>
        </w:tc>
        <w:tc>
          <w:tcPr>
            <w:tcW w:w="1735"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排污许可证申领时间</w:t>
            </w:r>
          </w:p>
        </w:tc>
        <w:tc>
          <w:tcPr>
            <w:tcW w:w="2500"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 w:hRule="exact"/>
          <w:jc w:val="center"/>
        </w:trPr>
        <w:tc>
          <w:tcPr>
            <w:tcW w:w="440" w:type="dxa"/>
            <w:vMerge w:val="continue"/>
            <w:vAlign w:val="center"/>
          </w:tcPr>
          <w:p>
            <w:pPr>
              <w:jc w:val="center"/>
              <w:rPr>
                <w:rFonts w:ascii="Times New Roman" w:hAnsi="Times New Roman" w:eastAsiaTheme="minorEastAsia"/>
                <w:color w:val="FF0000"/>
                <w:sz w:val="15"/>
                <w:szCs w:val="15"/>
              </w:rPr>
            </w:pPr>
          </w:p>
        </w:tc>
        <w:tc>
          <w:tcPr>
            <w:tcW w:w="2107"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环保设施设计单位</w:t>
            </w:r>
          </w:p>
        </w:tc>
        <w:tc>
          <w:tcPr>
            <w:tcW w:w="5454" w:type="dxa"/>
            <w:gridSpan w:val="7"/>
            <w:vAlign w:val="center"/>
          </w:tcPr>
          <w:p>
            <w:pPr>
              <w:jc w:val="center"/>
              <w:rPr>
                <w:rFonts w:ascii="Times New Roman" w:hAnsi="Times New Roman" w:eastAsiaTheme="minorEastAsia"/>
                <w:sz w:val="15"/>
                <w:szCs w:val="15"/>
              </w:rPr>
            </w:pPr>
          </w:p>
        </w:tc>
        <w:tc>
          <w:tcPr>
            <w:tcW w:w="2237"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环保设施施工单位</w:t>
            </w:r>
          </w:p>
        </w:tc>
        <w:tc>
          <w:tcPr>
            <w:tcW w:w="1838" w:type="dxa"/>
            <w:vAlign w:val="center"/>
          </w:tcPr>
          <w:p>
            <w:pPr>
              <w:jc w:val="center"/>
              <w:rPr>
                <w:rFonts w:ascii="Times New Roman" w:hAnsi="Times New Roman" w:eastAsiaTheme="minorEastAsia"/>
                <w:sz w:val="15"/>
                <w:szCs w:val="15"/>
              </w:rPr>
            </w:pPr>
          </w:p>
        </w:tc>
        <w:tc>
          <w:tcPr>
            <w:tcW w:w="1735"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本工程排污许可证编号</w:t>
            </w:r>
          </w:p>
        </w:tc>
        <w:tc>
          <w:tcPr>
            <w:tcW w:w="2500"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exact"/>
          <w:jc w:val="center"/>
        </w:trPr>
        <w:tc>
          <w:tcPr>
            <w:tcW w:w="440" w:type="dxa"/>
            <w:vMerge w:val="continue"/>
            <w:vAlign w:val="center"/>
          </w:tcPr>
          <w:p>
            <w:pPr>
              <w:jc w:val="center"/>
              <w:rPr>
                <w:rFonts w:ascii="Times New Roman" w:hAnsi="Times New Roman" w:eastAsiaTheme="minorEastAsia"/>
                <w:color w:val="FF0000"/>
                <w:sz w:val="15"/>
                <w:szCs w:val="15"/>
              </w:rPr>
            </w:pPr>
          </w:p>
        </w:tc>
        <w:tc>
          <w:tcPr>
            <w:tcW w:w="2107"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验收单位</w:t>
            </w:r>
          </w:p>
        </w:tc>
        <w:tc>
          <w:tcPr>
            <w:tcW w:w="5454" w:type="dxa"/>
            <w:gridSpan w:val="7"/>
            <w:vAlign w:val="center"/>
          </w:tcPr>
          <w:p>
            <w:pPr>
              <w:jc w:val="center"/>
              <w:rPr>
                <w:rFonts w:ascii="Times New Roman" w:hAnsi="Times New Roman" w:eastAsiaTheme="minorEastAsia"/>
                <w:sz w:val="15"/>
                <w:szCs w:val="15"/>
              </w:rPr>
            </w:pPr>
            <w:r>
              <w:rPr>
                <w:rFonts w:ascii="Times New Roman" w:hAnsi="Times New Roman" w:eastAsiaTheme="minorEastAsia"/>
                <w:bCs/>
                <w:sz w:val="15"/>
                <w:szCs w:val="15"/>
              </w:rPr>
              <w:t>黑龙江远辰科技产业有限公司</w:t>
            </w:r>
          </w:p>
        </w:tc>
        <w:tc>
          <w:tcPr>
            <w:tcW w:w="2237"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环保设施监测单位</w:t>
            </w:r>
          </w:p>
        </w:tc>
        <w:tc>
          <w:tcPr>
            <w:tcW w:w="1838" w:type="dxa"/>
            <w:vAlign w:val="center"/>
          </w:tcPr>
          <w:p>
            <w:pPr>
              <w:jc w:val="center"/>
              <w:rPr>
                <w:rFonts w:ascii="Times New Roman" w:hAnsi="Times New Roman" w:eastAsiaTheme="minorEastAsia"/>
                <w:sz w:val="15"/>
                <w:szCs w:val="15"/>
              </w:rPr>
            </w:pPr>
          </w:p>
        </w:tc>
        <w:tc>
          <w:tcPr>
            <w:tcW w:w="1735"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验收监测时工况</w:t>
            </w:r>
          </w:p>
        </w:tc>
        <w:tc>
          <w:tcPr>
            <w:tcW w:w="2500" w:type="dxa"/>
            <w:gridSpan w:val="3"/>
            <w:vAlign w:val="center"/>
          </w:tcPr>
          <w:p>
            <w:pPr>
              <w:jc w:val="center"/>
              <w:rPr>
                <w:rFonts w:ascii="Times New Roman" w:hAnsi="Times New Roman"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440" w:type="dxa"/>
            <w:vMerge w:val="continue"/>
            <w:vAlign w:val="center"/>
          </w:tcPr>
          <w:p>
            <w:pPr>
              <w:jc w:val="center"/>
              <w:rPr>
                <w:rFonts w:ascii="Times New Roman" w:hAnsi="Times New Roman" w:eastAsiaTheme="minorEastAsia"/>
                <w:color w:val="FF0000"/>
                <w:sz w:val="15"/>
                <w:szCs w:val="15"/>
              </w:rPr>
            </w:pPr>
          </w:p>
        </w:tc>
        <w:tc>
          <w:tcPr>
            <w:tcW w:w="2107"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投资总概算（万元）</w:t>
            </w:r>
          </w:p>
        </w:tc>
        <w:tc>
          <w:tcPr>
            <w:tcW w:w="5454" w:type="dxa"/>
            <w:gridSpan w:val="7"/>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50</w:t>
            </w:r>
          </w:p>
        </w:tc>
        <w:tc>
          <w:tcPr>
            <w:tcW w:w="2237" w:type="dxa"/>
            <w:gridSpan w:val="2"/>
            <w:vAlign w:val="center"/>
          </w:tcPr>
          <w:p>
            <w:pPr>
              <w:pStyle w:val="2"/>
              <w:jc w:val="center"/>
              <w:rPr>
                <w:rFonts w:ascii="Times New Roman" w:hAnsi="Times New Roman" w:eastAsiaTheme="minorEastAsia"/>
                <w:color w:val="auto"/>
                <w:kern w:val="2"/>
                <w:sz w:val="15"/>
                <w:szCs w:val="15"/>
              </w:rPr>
            </w:pPr>
            <w:r>
              <w:rPr>
                <w:rFonts w:ascii="Times New Roman" w:hAnsi="Times New Roman" w:eastAsiaTheme="minorEastAsia"/>
                <w:color w:val="auto"/>
                <w:kern w:val="2"/>
                <w:sz w:val="15"/>
                <w:szCs w:val="15"/>
              </w:rPr>
              <w:t>环保投资总概算（万元）</w:t>
            </w:r>
          </w:p>
        </w:tc>
        <w:tc>
          <w:tcPr>
            <w:tcW w:w="1838"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10</w:t>
            </w:r>
          </w:p>
        </w:tc>
        <w:tc>
          <w:tcPr>
            <w:tcW w:w="1735" w:type="dxa"/>
            <w:gridSpan w:val="2"/>
            <w:vAlign w:val="center"/>
          </w:tcPr>
          <w:p>
            <w:pPr>
              <w:pStyle w:val="2"/>
              <w:jc w:val="center"/>
              <w:rPr>
                <w:rFonts w:ascii="Times New Roman" w:hAnsi="Times New Roman" w:eastAsiaTheme="minorEastAsia"/>
                <w:color w:val="auto"/>
                <w:kern w:val="2"/>
                <w:sz w:val="15"/>
                <w:szCs w:val="15"/>
              </w:rPr>
            </w:pPr>
            <w:r>
              <w:rPr>
                <w:rFonts w:ascii="Times New Roman" w:hAnsi="Times New Roman" w:eastAsiaTheme="minorEastAsia"/>
                <w:color w:val="auto"/>
                <w:kern w:val="2"/>
                <w:sz w:val="15"/>
                <w:szCs w:val="15"/>
              </w:rPr>
              <w:t>所占比例（%）</w:t>
            </w:r>
          </w:p>
        </w:tc>
        <w:tc>
          <w:tcPr>
            <w:tcW w:w="2500" w:type="dxa"/>
            <w:gridSpan w:val="3"/>
            <w:vAlign w:val="center"/>
          </w:tcPr>
          <w:p>
            <w:pPr>
              <w:pStyle w:val="2"/>
              <w:jc w:val="center"/>
              <w:rPr>
                <w:rFonts w:ascii="Times New Roman" w:hAnsi="Times New Roman" w:eastAsiaTheme="minorEastAsia"/>
                <w:color w:val="auto"/>
                <w:kern w:val="2"/>
                <w:sz w:val="15"/>
                <w:szCs w:val="15"/>
              </w:rPr>
            </w:pPr>
            <w:r>
              <w:rPr>
                <w:rFonts w:ascii="Times New Roman" w:hAnsi="Times New Roman" w:eastAsiaTheme="minorEastAsia"/>
                <w:color w:val="auto"/>
                <w:kern w:val="2"/>
                <w:sz w:val="15"/>
                <w:szCs w:val="15"/>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40" w:type="dxa"/>
            <w:vMerge w:val="continue"/>
            <w:vAlign w:val="center"/>
          </w:tcPr>
          <w:p>
            <w:pPr>
              <w:jc w:val="center"/>
              <w:rPr>
                <w:rFonts w:ascii="Times New Roman" w:hAnsi="Times New Roman" w:eastAsiaTheme="minorEastAsia"/>
                <w:color w:val="FF0000"/>
                <w:sz w:val="15"/>
                <w:szCs w:val="15"/>
              </w:rPr>
            </w:pPr>
          </w:p>
        </w:tc>
        <w:tc>
          <w:tcPr>
            <w:tcW w:w="2107"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实际总投资</w:t>
            </w:r>
          </w:p>
        </w:tc>
        <w:tc>
          <w:tcPr>
            <w:tcW w:w="5454" w:type="dxa"/>
            <w:gridSpan w:val="7"/>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50</w:t>
            </w:r>
          </w:p>
        </w:tc>
        <w:tc>
          <w:tcPr>
            <w:tcW w:w="2237"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实际环保投资（万元）</w:t>
            </w:r>
          </w:p>
        </w:tc>
        <w:tc>
          <w:tcPr>
            <w:tcW w:w="1838"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10</w:t>
            </w:r>
          </w:p>
        </w:tc>
        <w:tc>
          <w:tcPr>
            <w:tcW w:w="1735"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所占比例（%）</w:t>
            </w:r>
          </w:p>
        </w:tc>
        <w:tc>
          <w:tcPr>
            <w:tcW w:w="2500" w:type="dxa"/>
            <w:gridSpan w:val="3"/>
            <w:vAlign w:val="center"/>
          </w:tcPr>
          <w:p>
            <w:pPr>
              <w:pStyle w:val="2"/>
              <w:jc w:val="center"/>
              <w:rPr>
                <w:rFonts w:ascii="Times New Roman" w:hAnsi="Times New Roman" w:eastAsiaTheme="minorEastAsia"/>
                <w:color w:val="auto"/>
                <w:kern w:val="2"/>
                <w:sz w:val="15"/>
                <w:szCs w:val="15"/>
              </w:rPr>
            </w:pPr>
            <w:r>
              <w:rPr>
                <w:rFonts w:ascii="Times New Roman" w:hAnsi="Times New Roman" w:eastAsiaTheme="minorEastAsia"/>
                <w:color w:val="auto"/>
                <w:kern w:val="2"/>
                <w:sz w:val="15"/>
                <w:szCs w:val="15"/>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exact"/>
          <w:jc w:val="center"/>
        </w:trPr>
        <w:tc>
          <w:tcPr>
            <w:tcW w:w="440" w:type="dxa"/>
            <w:vMerge w:val="continue"/>
            <w:vAlign w:val="center"/>
          </w:tcPr>
          <w:p>
            <w:pPr>
              <w:jc w:val="center"/>
              <w:rPr>
                <w:rFonts w:ascii="Times New Roman" w:hAnsi="Times New Roman" w:eastAsiaTheme="minorEastAsia"/>
                <w:color w:val="FF0000"/>
                <w:sz w:val="15"/>
                <w:szCs w:val="15"/>
              </w:rPr>
            </w:pPr>
          </w:p>
        </w:tc>
        <w:tc>
          <w:tcPr>
            <w:tcW w:w="2107"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废水治理（万元）</w:t>
            </w:r>
          </w:p>
        </w:tc>
        <w:tc>
          <w:tcPr>
            <w:tcW w:w="761"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2</w:t>
            </w:r>
          </w:p>
        </w:tc>
        <w:tc>
          <w:tcPr>
            <w:tcW w:w="1418"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废气治理（万元）</w:t>
            </w:r>
          </w:p>
        </w:tc>
        <w:tc>
          <w:tcPr>
            <w:tcW w:w="1127"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3</w:t>
            </w:r>
          </w:p>
        </w:tc>
        <w:tc>
          <w:tcPr>
            <w:tcW w:w="1546"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噪声治理（万元）</w:t>
            </w:r>
          </w:p>
        </w:tc>
        <w:tc>
          <w:tcPr>
            <w:tcW w:w="602"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1</w:t>
            </w:r>
          </w:p>
        </w:tc>
        <w:tc>
          <w:tcPr>
            <w:tcW w:w="2237"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固体废物治理（万元）</w:t>
            </w:r>
          </w:p>
        </w:tc>
        <w:tc>
          <w:tcPr>
            <w:tcW w:w="1838"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2</w:t>
            </w:r>
          </w:p>
        </w:tc>
        <w:tc>
          <w:tcPr>
            <w:tcW w:w="1735"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绿化及生态（万元）</w:t>
            </w:r>
          </w:p>
        </w:tc>
        <w:tc>
          <w:tcPr>
            <w:tcW w:w="554"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0</w:t>
            </w:r>
          </w:p>
        </w:tc>
        <w:tc>
          <w:tcPr>
            <w:tcW w:w="1133"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其他（万元）</w:t>
            </w:r>
          </w:p>
        </w:tc>
        <w:tc>
          <w:tcPr>
            <w:tcW w:w="813"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exact"/>
          <w:jc w:val="center"/>
        </w:trPr>
        <w:tc>
          <w:tcPr>
            <w:tcW w:w="440" w:type="dxa"/>
            <w:vMerge w:val="continue"/>
            <w:vAlign w:val="center"/>
          </w:tcPr>
          <w:p>
            <w:pPr>
              <w:jc w:val="center"/>
              <w:rPr>
                <w:rFonts w:ascii="Times New Roman" w:hAnsi="Times New Roman" w:eastAsiaTheme="minorEastAsia"/>
                <w:color w:val="FF0000"/>
                <w:sz w:val="15"/>
                <w:szCs w:val="15"/>
              </w:rPr>
            </w:pPr>
          </w:p>
        </w:tc>
        <w:tc>
          <w:tcPr>
            <w:tcW w:w="2107"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新增废水处理设施能力</w:t>
            </w:r>
          </w:p>
        </w:tc>
        <w:tc>
          <w:tcPr>
            <w:tcW w:w="5454" w:type="dxa"/>
            <w:gridSpan w:val="7"/>
            <w:vAlign w:val="center"/>
          </w:tcPr>
          <w:p>
            <w:pPr>
              <w:jc w:val="center"/>
              <w:rPr>
                <w:rFonts w:ascii="Times New Roman" w:hAnsi="Times New Roman" w:eastAsiaTheme="minorEastAsia"/>
                <w:sz w:val="15"/>
                <w:szCs w:val="15"/>
              </w:rPr>
            </w:pPr>
          </w:p>
        </w:tc>
        <w:tc>
          <w:tcPr>
            <w:tcW w:w="2237"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新增废气处理设施能力</w:t>
            </w:r>
          </w:p>
        </w:tc>
        <w:tc>
          <w:tcPr>
            <w:tcW w:w="1838" w:type="dxa"/>
            <w:vAlign w:val="center"/>
          </w:tcPr>
          <w:p>
            <w:pPr>
              <w:jc w:val="center"/>
              <w:rPr>
                <w:rFonts w:ascii="Times New Roman" w:hAnsi="Times New Roman" w:eastAsiaTheme="minorEastAsia"/>
                <w:sz w:val="15"/>
                <w:szCs w:val="15"/>
              </w:rPr>
            </w:pPr>
          </w:p>
        </w:tc>
        <w:tc>
          <w:tcPr>
            <w:tcW w:w="1735"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年平均工作时</w:t>
            </w:r>
          </w:p>
        </w:tc>
        <w:tc>
          <w:tcPr>
            <w:tcW w:w="2500" w:type="dxa"/>
            <w:gridSpan w:val="3"/>
            <w:vAlign w:val="center"/>
          </w:tcPr>
          <w:p>
            <w:pPr>
              <w:jc w:val="center"/>
              <w:rPr>
                <w:rFonts w:ascii="Times New Roman" w:hAnsi="Times New Roman" w:eastAsiaTheme="minorEastAsia"/>
                <w:sz w:val="15"/>
                <w:szCs w:val="15"/>
              </w:rPr>
            </w:pPr>
            <w:r>
              <w:rPr>
                <w:rFonts w:ascii="Times New Roman" w:hAnsi="Times New Roman" w:eastAsiaTheme="minorEastAsia"/>
                <w:bCs/>
                <w:sz w:val="15"/>
                <w:szCs w:val="15"/>
              </w:rPr>
              <w:t>330日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2547" w:type="dxa"/>
            <w:gridSpan w:val="4"/>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运营单位</w:t>
            </w:r>
          </w:p>
        </w:tc>
        <w:tc>
          <w:tcPr>
            <w:tcW w:w="4320" w:type="dxa"/>
            <w:gridSpan w:val="4"/>
            <w:vAlign w:val="center"/>
          </w:tcPr>
          <w:p>
            <w:pPr>
              <w:jc w:val="center"/>
              <w:rPr>
                <w:rFonts w:ascii="Times New Roman" w:hAnsi="Times New Roman" w:eastAsiaTheme="minorEastAsia"/>
                <w:sz w:val="15"/>
                <w:szCs w:val="15"/>
              </w:rPr>
            </w:pPr>
          </w:p>
        </w:tc>
        <w:tc>
          <w:tcPr>
            <w:tcW w:w="3371" w:type="dxa"/>
            <w:gridSpan w:val="5"/>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运营单位社会统一信用代码（或组织机构代码）</w:t>
            </w:r>
          </w:p>
        </w:tc>
        <w:tc>
          <w:tcPr>
            <w:tcW w:w="1838" w:type="dxa"/>
            <w:vAlign w:val="center"/>
          </w:tcPr>
          <w:p>
            <w:pPr>
              <w:jc w:val="center"/>
              <w:rPr>
                <w:rFonts w:ascii="Times New Roman" w:hAnsi="Times New Roman" w:eastAsiaTheme="minorEastAsia"/>
                <w:sz w:val="15"/>
                <w:szCs w:val="15"/>
              </w:rPr>
            </w:pPr>
          </w:p>
        </w:tc>
        <w:tc>
          <w:tcPr>
            <w:tcW w:w="1735"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验收时间</w:t>
            </w:r>
          </w:p>
        </w:tc>
        <w:tc>
          <w:tcPr>
            <w:tcW w:w="2500" w:type="dxa"/>
            <w:gridSpan w:val="3"/>
            <w:vAlign w:val="center"/>
          </w:tcPr>
          <w:p>
            <w:pPr>
              <w:jc w:val="center"/>
              <w:rPr>
                <w:rFonts w:ascii="Times New Roman" w:hAnsi="Times New Roman"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exact"/>
          <w:jc w:val="center"/>
        </w:trPr>
        <w:tc>
          <w:tcPr>
            <w:tcW w:w="614" w:type="dxa"/>
            <w:gridSpan w:val="2"/>
            <w:vMerge w:val="restart"/>
            <w:vAlign w:val="center"/>
          </w:tcPr>
          <w:p>
            <w:pPr>
              <w:jc w:val="center"/>
              <w:rPr>
                <w:rFonts w:ascii="Times New Roman" w:hAnsi="Times New Roman" w:eastAsiaTheme="minorEastAsia"/>
                <w:spacing w:val="20"/>
                <w:sz w:val="15"/>
                <w:szCs w:val="15"/>
              </w:rPr>
            </w:pPr>
            <w:r>
              <w:rPr>
                <w:rFonts w:ascii="Times New Roman" w:hAnsi="Times New Roman" w:eastAsiaTheme="minorEastAsia"/>
                <w:spacing w:val="20"/>
                <w:sz w:val="15"/>
                <w:szCs w:val="15"/>
              </w:rPr>
              <w:t>污染</w:t>
            </w:r>
          </w:p>
          <w:p>
            <w:pPr>
              <w:jc w:val="center"/>
              <w:rPr>
                <w:rFonts w:ascii="Times New Roman" w:hAnsi="Times New Roman" w:eastAsiaTheme="minorEastAsia"/>
                <w:spacing w:val="20"/>
                <w:sz w:val="15"/>
                <w:szCs w:val="15"/>
              </w:rPr>
            </w:pPr>
            <w:r>
              <w:rPr>
                <w:rFonts w:ascii="Times New Roman" w:hAnsi="Times New Roman" w:eastAsiaTheme="minorEastAsia"/>
                <w:spacing w:val="20"/>
                <w:sz w:val="15"/>
                <w:szCs w:val="15"/>
              </w:rPr>
              <w:t>物排</w:t>
            </w:r>
          </w:p>
          <w:p>
            <w:pPr>
              <w:jc w:val="center"/>
              <w:rPr>
                <w:rFonts w:ascii="Times New Roman" w:hAnsi="Times New Roman" w:eastAsiaTheme="minorEastAsia"/>
                <w:spacing w:val="20"/>
                <w:sz w:val="15"/>
                <w:szCs w:val="15"/>
              </w:rPr>
            </w:pPr>
            <w:r>
              <w:rPr>
                <w:rFonts w:ascii="Times New Roman" w:hAnsi="Times New Roman" w:eastAsiaTheme="minorEastAsia"/>
                <w:spacing w:val="20"/>
                <w:sz w:val="15"/>
                <w:szCs w:val="15"/>
              </w:rPr>
              <w:t>放达</w:t>
            </w:r>
          </w:p>
          <w:p>
            <w:pPr>
              <w:jc w:val="center"/>
              <w:rPr>
                <w:rFonts w:ascii="Times New Roman" w:hAnsi="Times New Roman" w:eastAsiaTheme="minorEastAsia"/>
                <w:spacing w:val="20"/>
                <w:sz w:val="15"/>
                <w:szCs w:val="15"/>
              </w:rPr>
            </w:pPr>
            <w:r>
              <w:rPr>
                <w:rFonts w:ascii="Times New Roman" w:hAnsi="Times New Roman" w:eastAsiaTheme="minorEastAsia"/>
                <w:spacing w:val="20"/>
                <w:sz w:val="15"/>
                <w:szCs w:val="15"/>
              </w:rPr>
              <w:t>标与</w:t>
            </w:r>
          </w:p>
          <w:p>
            <w:pPr>
              <w:jc w:val="center"/>
              <w:rPr>
                <w:rFonts w:ascii="Times New Roman" w:hAnsi="Times New Roman" w:eastAsiaTheme="minorEastAsia"/>
                <w:spacing w:val="20"/>
                <w:sz w:val="15"/>
                <w:szCs w:val="15"/>
              </w:rPr>
            </w:pPr>
            <w:r>
              <w:rPr>
                <w:rFonts w:ascii="Times New Roman" w:hAnsi="Times New Roman" w:eastAsiaTheme="minorEastAsia"/>
                <w:spacing w:val="20"/>
                <w:sz w:val="15"/>
                <w:szCs w:val="15"/>
              </w:rPr>
              <w:t>总量</w:t>
            </w:r>
          </w:p>
          <w:p>
            <w:pPr>
              <w:jc w:val="center"/>
              <w:rPr>
                <w:rFonts w:ascii="Times New Roman" w:hAnsi="Times New Roman" w:eastAsiaTheme="minorEastAsia"/>
                <w:spacing w:val="20"/>
                <w:sz w:val="15"/>
                <w:szCs w:val="15"/>
              </w:rPr>
            </w:pPr>
            <w:r>
              <w:rPr>
                <w:rFonts w:ascii="Times New Roman" w:hAnsi="Times New Roman" w:eastAsiaTheme="minorEastAsia"/>
                <w:spacing w:val="20"/>
                <w:sz w:val="15"/>
                <w:szCs w:val="15"/>
              </w:rPr>
              <w:t>控制（工</w:t>
            </w:r>
          </w:p>
          <w:p>
            <w:pPr>
              <w:jc w:val="center"/>
              <w:rPr>
                <w:rFonts w:ascii="Times New Roman" w:hAnsi="Times New Roman" w:eastAsiaTheme="minorEastAsia"/>
                <w:spacing w:val="20"/>
                <w:sz w:val="15"/>
                <w:szCs w:val="15"/>
              </w:rPr>
            </w:pPr>
            <w:r>
              <w:rPr>
                <w:rFonts w:ascii="Times New Roman" w:hAnsi="Times New Roman" w:eastAsiaTheme="minorEastAsia"/>
                <w:spacing w:val="20"/>
                <w:sz w:val="15"/>
                <w:szCs w:val="15"/>
              </w:rPr>
              <w:t>业建</w:t>
            </w:r>
          </w:p>
          <w:p>
            <w:pPr>
              <w:jc w:val="center"/>
              <w:rPr>
                <w:rFonts w:ascii="Times New Roman" w:hAnsi="Times New Roman" w:eastAsiaTheme="minorEastAsia"/>
                <w:spacing w:val="20"/>
                <w:sz w:val="15"/>
                <w:szCs w:val="15"/>
              </w:rPr>
            </w:pPr>
            <w:r>
              <w:rPr>
                <w:rFonts w:ascii="Times New Roman" w:hAnsi="Times New Roman" w:eastAsiaTheme="minorEastAsia"/>
                <w:spacing w:val="20"/>
                <w:sz w:val="15"/>
                <w:szCs w:val="15"/>
              </w:rPr>
              <w:t>设项</w:t>
            </w:r>
          </w:p>
          <w:p>
            <w:pPr>
              <w:jc w:val="center"/>
              <w:rPr>
                <w:rFonts w:ascii="Times New Roman" w:hAnsi="Times New Roman" w:eastAsiaTheme="minorEastAsia"/>
                <w:spacing w:val="20"/>
                <w:sz w:val="15"/>
                <w:szCs w:val="15"/>
              </w:rPr>
            </w:pPr>
            <w:r>
              <w:rPr>
                <w:rFonts w:ascii="Times New Roman" w:hAnsi="Times New Roman" w:eastAsiaTheme="minorEastAsia"/>
                <w:spacing w:val="20"/>
                <w:sz w:val="15"/>
                <w:szCs w:val="15"/>
              </w:rPr>
              <w:t>目详填）</w:t>
            </w:r>
          </w:p>
        </w:tc>
        <w:tc>
          <w:tcPr>
            <w:tcW w:w="1933"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污染物</w:t>
            </w:r>
          </w:p>
        </w:tc>
        <w:tc>
          <w:tcPr>
            <w:tcW w:w="761"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原有排</w:t>
            </w:r>
          </w:p>
          <w:p>
            <w:pPr>
              <w:jc w:val="center"/>
              <w:rPr>
                <w:rFonts w:ascii="Times New Roman" w:hAnsi="Times New Roman" w:eastAsiaTheme="minorEastAsia"/>
                <w:sz w:val="15"/>
                <w:szCs w:val="15"/>
              </w:rPr>
            </w:pPr>
            <w:r>
              <w:rPr>
                <w:rFonts w:ascii="Times New Roman" w:hAnsi="Times New Roman" w:eastAsiaTheme="minorEastAsia"/>
                <w:sz w:val="15"/>
                <w:szCs w:val="15"/>
              </w:rPr>
              <w:t>放量(1)</w:t>
            </w:r>
          </w:p>
        </w:tc>
        <w:tc>
          <w:tcPr>
            <w:tcW w:w="1418"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本期工程实际排放浓度(2)</w:t>
            </w:r>
          </w:p>
        </w:tc>
        <w:tc>
          <w:tcPr>
            <w:tcW w:w="1127"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本期工程允许排放浓度(3)</w:t>
            </w:r>
          </w:p>
        </w:tc>
        <w:tc>
          <w:tcPr>
            <w:tcW w:w="1020"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本期工程产生量(4)</w:t>
            </w:r>
          </w:p>
        </w:tc>
        <w:tc>
          <w:tcPr>
            <w:tcW w:w="1128"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本期工程自身削减量(5)</w:t>
            </w:r>
          </w:p>
        </w:tc>
        <w:tc>
          <w:tcPr>
            <w:tcW w:w="1169"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本期工程实际排放量(6)</w:t>
            </w:r>
          </w:p>
        </w:tc>
        <w:tc>
          <w:tcPr>
            <w:tcW w:w="1068"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本期工程核定排放总量(7)</w:t>
            </w:r>
          </w:p>
        </w:tc>
        <w:tc>
          <w:tcPr>
            <w:tcW w:w="1838"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本期工程“以新带老”削减量(8)</w:t>
            </w:r>
          </w:p>
        </w:tc>
        <w:tc>
          <w:tcPr>
            <w:tcW w:w="1010"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全厂实际排放总量(9)</w:t>
            </w:r>
          </w:p>
        </w:tc>
        <w:tc>
          <w:tcPr>
            <w:tcW w:w="1279"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全厂核定排放总量(10)</w:t>
            </w:r>
          </w:p>
        </w:tc>
        <w:tc>
          <w:tcPr>
            <w:tcW w:w="1133"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区域平衡替代削减量(11)</w:t>
            </w:r>
          </w:p>
        </w:tc>
        <w:tc>
          <w:tcPr>
            <w:tcW w:w="813"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933"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废水</w:t>
            </w:r>
          </w:p>
        </w:tc>
        <w:tc>
          <w:tcPr>
            <w:tcW w:w="761" w:type="dxa"/>
            <w:vAlign w:val="center"/>
          </w:tcPr>
          <w:p>
            <w:pPr>
              <w:jc w:val="center"/>
              <w:rPr>
                <w:rFonts w:ascii="Times New Roman" w:hAnsi="Times New Roman" w:eastAsiaTheme="minorEastAsia"/>
                <w:sz w:val="15"/>
                <w:szCs w:val="15"/>
              </w:rPr>
            </w:pPr>
          </w:p>
        </w:tc>
        <w:tc>
          <w:tcPr>
            <w:tcW w:w="1418" w:type="dxa"/>
            <w:vAlign w:val="center"/>
          </w:tcPr>
          <w:p>
            <w:pPr>
              <w:jc w:val="center"/>
              <w:rPr>
                <w:rFonts w:ascii="Times New Roman" w:hAnsi="Times New Roman" w:eastAsiaTheme="minorEastAsia"/>
                <w:bCs/>
                <w:sz w:val="15"/>
                <w:szCs w:val="15"/>
              </w:rPr>
            </w:pPr>
          </w:p>
        </w:tc>
        <w:tc>
          <w:tcPr>
            <w:tcW w:w="1127" w:type="dxa"/>
            <w:vAlign w:val="center"/>
          </w:tcPr>
          <w:p>
            <w:pPr>
              <w:jc w:val="center"/>
              <w:rPr>
                <w:rFonts w:ascii="Times New Roman" w:hAnsi="Times New Roman" w:eastAsiaTheme="minorEastAsia"/>
                <w:bCs/>
                <w:sz w:val="15"/>
                <w:szCs w:val="15"/>
              </w:rPr>
            </w:pPr>
          </w:p>
        </w:tc>
        <w:tc>
          <w:tcPr>
            <w:tcW w:w="1020" w:type="dxa"/>
            <w:gridSpan w:val="2"/>
            <w:vAlign w:val="center"/>
          </w:tcPr>
          <w:p>
            <w:pPr>
              <w:jc w:val="center"/>
              <w:rPr>
                <w:rFonts w:ascii="Times New Roman" w:hAnsi="Times New Roman" w:eastAsiaTheme="minorEastAsia"/>
                <w:bCs/>
                <w:sz w:val="15"/>
                <w:szCs w:val="15"/>
              </w:rPr>
            </w:pPr>
          </w:p>
        </w:tc>
        <w:tc>
          <w:tcPr>
            <w:tcW w:w="1128" w:type="dxa"/>
            <w:gridSpan w:val="2"/>
            <w:vAlign w:val="center"/>
          </w:tcPr>
          <w:p>
            <w:pPr>
              <w:jc w:val="center"/>
              <w:rPr>
                <w:rFonts w:ascii="Times New Roman" w:hAnsi="Times New Roman" w:eastAsiaTheme="minorEastAsia"/>
                <w:bCs/>
                <w:sz w:val="15"/>
                <w:szCs w:val="15"/>
              </w:rPr>
            </w:pPr>
          </w:p>
        </w:tc>
        <w:tc>
          <w:tcPr>
            <w:tcW w:w="1169" w:type="dxa"/>
            <w:vAlign w:val="center"/>
          </w:tcPr>
          <w:p>
            <w:pPr>
              <w:jc w:val="center"/>
              <w:rPr>
                <w:rFonts w:ascii="Times New Roman" w:hAnsi="Times New Roman" w:eastAsiaTheme="minorEastAsia"/>
                <w:bCs/>
                <w:sz w:val="15"/>
                <w:szCs w:val="15"/>
              </w:rPr>
            </w:pPr>
            <w:r>
              <w:rPr>
                <w:rFonts w:ascii="Times New Roman" w:hAnsi="Times New Roman" w:eastAsiaTheme="minorEastAsia"/>
                <w:bCs/>
                <w:sz w:val="15"/>
                <w:szCs w:val="15"/>
              </w:rPr>
              <w:t>300t</w:t>
            </w:r>
          </w:p>
        </w:tc>
        <w:tc>
          <w:tcPr>
            <w:tcW w:w="1068" w:type="dxa"/>
            <w:vAlign w:val="center"/>
          </w:tcPr>
          <w:p>
            <w:pPr>
              <w:jc w:val="center"/>
              <w:rPr>
                <w:rFonts w:ascii="Times New Roman" w:hAnsi="Times New Roman" w:eastAsiaTheme="minorEastAsia"/>
                <w:sz w:val="15"/>
                <w:szCs w:val="15"/>
              </w:rPr>
            </w:pPr>
          </w:p>
        </w:tc>
        <w:tc>
          <w:tcPr>
            <w:tcW w:w="1838" w:type="dxa"/>
            <w:vAlign w:val="center"/>
          </w:tcPr>
          <w:p>
            <w:pPr>
              <w:jc w:val="center"/>
              <w:rPr>
                <w:rFonts w:ascii="Times New Roman" w:hAnsi="Times New Roman" w:eastAsiaTheme="minorEastAsia"/>
                <w:sz w:val="15"/>
                <w:szCs w:val="15"/>
              </w:rPr>
            </w:pPr>
          </w:p>
        </w:tc>
        <w:tc>
          <w:tcPr>
            <w:tcW w:w="1010" w:type="dxa"/>
            <w:vAlign w:val="center"/>
          </w:tcPr>
          <w:p>
            <w:pPr>
              <w:jc w:val="center"/>
              <w:rPr>
                <w:rFonts w:ascii="Times New Roman" w:hAnsi="Times New Roman" w:eastAsiaTheme="minorEastAsia"/>
                <w:sz w:val="15"/>
                <w:szCs w:val="15"/>
              </w:rPr>
            </w:pPr>
            <w:r>
              <w:rPr>
                <w:rFonts w:ascii="Times New Roman" w:hAnsi="Times New Roman" w:eastAsiaTheme="minorEastAsia"/>
                <w:bCs/>
                <w:sz w:val="15"/>
                <w:szCs w:val="15"/>
              </w:rPr>
              <w:t>300t</w:t>
            </w:r>
          </w:p>
        </w:tc>
        <w:tc>
          <w:tcPr>
            <w:tcW w:w="1279" w:type="dxa"/>
            <w:gridSpan w:val="2"/>
            <w:vAlign w:val="center"/>
          </w:tcPr>
          <w:p>
            <w:pPr>
              <w:jc w:val="center"/>
              <w:rPr>
                <w:rFonts w:ascii="Times New Roman" w:hAnsi="Times New Roman" w:eastAsiaTheme="minorEastAsia"/>
                <w:sz w:val="15"/>
                <w:szCs w:val="15"/>
              </w:rPr>
            </w:pPr>
          </w:p>
        </w:tc>
        <w:tc>
          <w:tcPr>
            <w:tcW w:w="1133" w:type="dxa"/>
            <w:vAlign w:val="center"/>
          </w:tcPr>
          <w:p>
            <w:pPr>
              <w:jc w:val="center"/>
              <w:rPr>
                <w:rFonts w:ascii="Times New Roman" w:hAnsi="Times New Roman" w:eastAsiaTheme="minorEastAsia"/>
                <w:sz w:val="15"/>
                <w:szCs w:val="15"/>
              </w:rPr>
            </w:pPr>
          </w:p>
        </w:tc>
        <w:tc>
          <w:tcPr>
            <w:tcW w:w="813" w:type="dxa"/>
            <w:vAlign w:val="center"/>
          </w:tcPr>
          <w:p>
            <w:pPr>
              <w:jc w:val="center"/>
              <w:rPr>
                <w:rFonts w:ascii="Times New Roman" w:hAnsi="Times New Roman" w:eastAsiaTheme="minorEastAsia"/>
                <w:sz w:val="15"/>
                <w:szCs w:val="15"/>
              </w:rPr>
            </w:pPr>
            <w:r>
              <w:rPr>
                <w:rFonts w:ascii="Times New Roman" w:hAnsi="Times New Roman" w:eastAsiaTheme="minorEastAsia"/>
                <w:bCs/>
                <w:sz w:val="15"/>
                <w:szCs w:val="15"/>
              </w:rPr>
              <w:t>300t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933"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化学需氧量</w:t>
            </w:r>
          </w:p>
        </w:tc>
        <w:tc>
          <w:tcPr>
            <w:tcW w:w="761" w:type="dxa"/>
            <w:vAlign w:val="center"/>
          </w:tcPr>
          <w:p>
            <w:pPr>
              <w:jc w:val="center"/>
              <w:rPr>
                <w:rFonts w:ascii="Times New Roman" w:hAnsi="Times New Roman" w:eastAsiaTheme="minorEastAsia"/>
                <w:sz w:val="15"/>
                <w:szCs w:val="15"/>
              </w:rPr>
            </w:pPr>
          </w:p>
        </w:tc>
        <w:tc>
          <w:tcPr>
            <w:tcW w:w="1418" w:type="dxa"/>
            <w:vAlign w:val="center"/>
          </w:tcPr>
          <w:p>
            <w:pPr>
              <w:jc w:val="center"/>
              <w:rPr>
                <w:rFonts w:ascii="Times New Roman" w:hAnsi="Times New Roman" w:eastAsiaTheme="minorEastAsia"/>
                <w:bCs/>
                <w:sz w:val="15"/>
                <w:szCs w:val="15"/>
              </w:rPr>
            </w:pPr>
            <w:r>
              <w:rPr>
                <w:rFonts w:ascii="Times New Roman" w:hAnsi="Times New Roman" w:eastAsiaTheme="minorEastAsia"/>
                <w:bCs/>
                <w:sz w:val="15"/>
                <w:szCs w:val="15"/>
              </w:rPr>
              <w:t>176mg/l</w:t>
            </w:r>
          </w:p>
        </w:tc>
        <w:tc>
          <w:tcPr>
            <w:tcW w:w="1127" w:type="dxa"/>
            <w:vAlign w:val="center"/>
          </w:tcPr>
          <w:p>
            <w:pPr>
              <w:jc w:val="center"/>
              <w:rPr>
                <w:rFonts w:ascii="Times New Roman" w:hAnsi="Times New Roman" w:eastAsiaTheme="minorEastAsia"/>
                <w:bCs/>
                <w:sz w:val="15"/>
                <w:szCs w:val="15"/>
              </w:rPr>
            </w:pPr>
          </w:p>
        </w:tc>
        <w:tc>
          <w:tcPr>
            <w:tcW w:w="1020" w:type="dxa"/>
            <w:gridSpan w:val="2"/>
            <w:vAlign w:val="center"/>
          </w:tcPr>
          <w:p>
            <w:pPr>
              <w:jc w:val="center"/>
              <w:rPr>
                <w:rFonts w:ascii="Times New Roman" w:hAnsi="Times New Roman" w:eastAsiaTheme="minorEastAsia"/>
                <w:bCs/>
                <w:sz w:val="15"/>
                <w:szCs w:val="15"/>
              </w:rPr>
            </w:pPr>
          </w:p>
        </w:tc>
        <w:tc>
          <w:tcPr>
            <w:tcW w:w="1128" w:type="dxa"/>
            <w:gridSpan w:val="2"/>
            <w:vAlign w:val="center"/>
          </w:tcPr>
          <w:p>
            <w:pPr>
              <w:jc w:val="center"/>
              <w:rPr>
                <w:rFonts w:ascii="Times New Roman" w:hAnsi="Times New Roman" w:eastAsiaTheme="minorEastAsia"/>
                <w:bCs/>
                <w:sz w:val="15"/>
                <w:szCs w:val="15"/>
              </w:rPr>
            </w:pPr>
          </w:p>
        </w:tc>
        <w:tc>
          <w:tcPr>
            <w:tcW w:w="1169" w:type="dxa"/>
            <w:vAlign w:val="center"/>
          </w:tcPr>
          <w:p>
            <w:pPr>
              <w:jc w:val="center"/>
              <w:rPr>
                <w:rFonts w:ascii="Times New Roman" w:hAnsi="Times New Roman" w:eastAsiaTheme="minorEastAsia"/>
                <w:bCs/>
                <w:sz w:val="15"/>
                <w:szCs w:val="15"/>
              </w:rPr>
            </w:pPr>
            <w:r>
              <w:rPr>
                <w:rFonts w:ascii="Times New Roman" w:hAnsi="Times New Roman" w:eastAsiaTheme="minorEastAsia"/>
                <w:bCs/>
                <w:sz w:val="15"/>
                <w:szCs w:val="15"/>
              </w:rPr>
              <w:t>0.053 t</w:t>
            </w:r>
          </w:p>
        </w:tc>
        <w:tc>
          <w:tcPr>
            <w:tcW w:w="1068" w:type="dxa"/>
            <w:vAlign w:val="center"/>
          </w:tcPr>
          <w:p>
            <w:pPr>
              <w:jc w:val="center"/>
              <w:rPr>
                <w:rFonts w:ascii="Times New Roman" w:hAnsi="Times New Roman" w:eastAsiaTheme="minorEastAsia"/>
                <w:bCs/>
                <w:sz w:val="15"/>
                <w:szCs w:val="15"/>
              </w:rPr>
            </w:pPr>
          </w:p>
        </w:tc>
        <w:tc>
          <w:tcPr>
            <w:tcW w:w="1838" w:type="dxa"/>
            <w:vAlign w:val="center"/>
          </w:tcPr>
          <w:p>
            <w:pPr>
              <w:jc w:val="center"/>
              <w:rPr>
                <w:rFonts w:ascii="Times New Roman" w:hAnsi="Times New Roman" w:eastAsiaTheme="minorEastAsia"/>
                <w:sz w:val="15"/>
                <w:szCs w:val="15"/>
              </w:rPr>
            </w:pPr>
          </w:p>
        </w:tc>
        <w:tc>
          <w:tcPr>
            <w:tcW w:w="1010" w:type="dxa"/>
            <w:vAlign w:val="center"/>
          </w:tcPr>
          <w:p>
            <w:pPr>
              <w:jc w:val="center"/>
              <w:rPr>
                <w:rFonts w:ascii="Times New Roman" w:hAnsi="Times New Roman" w:eastAsiaTheme="minorEastAsia"/>
                <w:sz w:val="15"/>
                <w:szCs w:val="15"/>
              </w:rPr>
            </w:pPr>
            <w:r>
              <w:rPr>
                <w:rFonts w:ascii="Times New Roman" w:hAnsi="Times New Roman" w:eastAsiaTheme="minorEastAsia"/>
                <w:bCs/>
                <w:sz w:val="15"/>
                <w:szCs w:val="15"/>
              </w:rPr>
              <w:t>0.053 t</w:t>
            </w:r>
          </w:p>
        </w:tc>
        <w:tc>
          <w:tcPr>
            <w:tcW w:w="1279" w:type="dxa"/>
            <w:gridSpan w:val="2"/>
            <w:vAlign w:val="center"/>
          </w:tcPr>
          <w:p>
            <w:pPr>
              <w:jc w:val="center"/>
              <w:rPr>
                <w:rFonts w:ascii="Times New Roman" w:hAnsi="Times New Roman" w:eastAsiaTheme="minorEastAsia"/>
                <w:sz w:val="15"/>
                <w:szCs w:val="15"/>
              </w:rPr>
            </w:pPr>
          </w:p>
        </w:tc>
        <w:tc>
          <w:tcPr>
            <w:tcW w:w="1133" w:type="dxa"/>
            <w:vAlign w:val="center"/>
          </w:tcPr>
          <w:p>
            <w:pPr>
              <w:jc w:val="center"/>
              <w:rPr>
                <w:rFonts w:ascii="Times New Roman" w:hAnsi="Times New Roman" w:eastAsiaTheme="minorEastAsia"/>
                <w:sz w:val="15"/>
                <w:szCs w:val="15"/>
              </w:rPr>
            </w:pPr>
          </w:p>
        </w:tc>
        <w:tc>
          <w:tcPr>
            <w:tcW w:w="813" w:type="dxa"/>
            <w:vAlign w:val="center"/>
          </w:tcPr>
          <w:p>
            <w:pPr>
              <w:jc w:val="center"/>
              <w:rPr>
                <w:rFonts w:ascii="Times New Roman" w:hAnsi="Times New Roman" w:eastAsiaTheme="minorEastAsia"/>
                <w:sz w:val="15"/>
                <w:szCs w:val="15"/>
              </w:rPr>
            </w:pPr>
            <w:r>
              <w:rPr>
                <w:rFonts w:ascii="Times New Roman" w:hAnsi="Times New Roman" w:eastAsiaTheme="minorEastAsia"/>
                <w:bCs/>
                <w:sz w:val="15"/>
                <w:szCs w:val="15"/>
              </w:rPr>
              <w:t>0.053 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933"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氨氮</w:t>
            </w:r>
          </w:p>
        </w:tc>
        <w:tc>
          <w:tcPr>
            <w:tcW w:w="761" w:type="dxa"/>
            <w:vAlign w:val="center"/>
          </w:tcPr>
          <w:p>
            <w:pPr>
              <w:jc w:val="center"/>
              <w:rPr>
                <w:rFonts w:ascii="Times New Roman" w:hAnsi="Times New Roman" w:eastAsiaTheme="minorEastAsia"/>
                <w:sz w:val="15"/>
                <w:szCs w:val="15"/>
              </w:rPr>
            </w:pPr>
          </w:p>
        </w:tc>
        <w:tc>
          <w:tcPr>
            <w:tcW w:w="1418" w:type="dxa"/>
            <w:vAlign w:val="center"/>
          </w:tcPr>
          <w:p>
            <w:pPr>
              <w:jc w:val="center"/>
              <w:rPr>
                <w:rFonts w:ascii="Times New Roman" w:hAnsi="Times New Roman" w:eastAsiaTheme="minorEastAsia"/>
                <w:bCs/>
                <w:sz w:val="15"/>
                <w:szCs w:val="15"/>
              </w:rPr>
            </w:pPr>
            <w:r>
              <w:rPr>
                <w:rFonts w:ascii="Times New Roman" w:hAnsi="Times New Roman" w:eastAsiaTheme="minorEastAsia"/>
                <w:bCs/>
                <w:sz w:val="15"/>
                <w:szCs w:val="15"/>
              </w:rPr>
              <w:t>16.0mg/l</w:t>
            </w:r>
          </w:p>
        </w:tc>
        <w:tc>
          <w:tcPr>
            <w:tcW w:w="1127" w:type="dxa"/>
            <w:vAlign w:val="center"/>
          </w:tcPr>
          <w:p>
            <w:pPr>
              <w:jc w:val="center"/>
              <w:rPr>
                <w:rFonts w:ascii="Times New Roman" w:hAnsi="Times New Roman" w:eastAsiaTheme="minorEastAsia"/>
                <w:bCs/>
                <w:sz w:val="15"/>
                <w:szCs w:val="15"/>
              </w:rPr>
            </w:pPr>
          </w:p>
        </w:tc>
        <w:tc>
          <w:tcPr>
            <w:tcW w:w="1020" w:type="dxa"/>
            <w:gridSpan w:val="2"/>
            <w:vAlign w:val="center"/>
          </w:tcPr>
          <w:p>
            <w:pPr>
              <w:jc w:val="center"/>
              <w:rPr>
                <w:rFonts w:ascii="Times New Roman" w:hAnsi="Times New Roman" w:eastAsiaTheme="minorEastAsia"/>
                <w:bCs/>
                <w:sz w:val="15"/>
                <w:szCs w:val="15"/>
              </w:rPr>
            </w:pPr>
          </w:p>
        </w:tc>
        <w:tc>
          <w:tcPr>
            <w:tcW w:w="1128" w:type="dxa"/>
            <w:gridSpan w:val="2"/>
            <w:vAlign w:val="center"/>
          </w:tcPr>
          <w:p>
            <w:pPr>
              <w:jc w:val="center"/>
              <w:rPr>
                <w:rFonts w:ascii="Times New Roman" w:hAnsi="Times New Roman" w:eastAsiaTheme="minorEastAsia"/>
                <w:bCs/>
                <w:sz w:val="15"/>
                <w:szCs w:val="15"/>
              </w:rPr>
            </w:pPr>
          </w:p>
        </w:tc>
        <w:tc>
          <w:tcPr>
            <w:tcW w:w="1169" w:type="dxa"/>
            <w:vAlign w:val="center"/>
          </w:tcPr>
          <w:p>
            <w:pPr>
              <w:jc w:val="center"/>
              <w:rPr>
                <w:rFonts w:ascii="Times New Roman" w:hAnsi="Times New Roman" w:eastAsiaTheme="minorEastAsia"/>
                <w:bCs/>
                <w:sz w:val="15"/>
                <w:szCs w:val="15"/>
              </w:rPr>
            </w:pPr>
            <w:r>
              <w:rPr>
                <w:rFonts w:ascii="Times New Roman" w:hAnsi="Times New Roman" w:eastAsiaTheme="minorEastAsia"/>
                <w:bCs/>
                <w:sz w:val="15"/>
                <w:szCs w:val="15"/>
              </w:rPr>
              <w:t>0.0048 t</w:t>
            </w:r>
          </w:p>
        </w:tc>
        <w:tc>
          <w:tcPr>
            <w:tcW w:w="1068" w:type="dxa"/>
            <w:vAlign w:val="center"/>
          </w:tcPr>
          <w:p>
            <w:pPr>
              <w:jc w:val="center"/>
              <w:rPr>
                <w:rFonts w:ascii="Times New Roman" w:hAnsi="Times New Roman" w:eastAsiaTheme="minorEastAsia"/>
                <w:bCs/>
                <w:sz w:val="15"/>
                <w:szCs w:val="15"/>
              </w:rPr>
            </w:pPr>
          </w:p>
        </w:tc>
        <w:tc>
          <w:tcPr>
            <w:tcW w:w="1838" w:type="dxa"/>
            <w:vAlign w:val="center"/>
          </w:tcPr>
          <w:p>
            <w:pPr>
              <w:jc w:val="center"/>
              <w:rPr>
                <w:rFonts w:ascii="Times New Roman" w:hAnsi="Times New Roman" w:eastAsiaTheme="minorEastAsia"/>
                <w:sz w:val="15"/>
                <w:szCs w:val="15"/>
              </w:rPr>
            </w:pPr>
          </w:p>
        </w:tc>
        <w:tc>
          <w:tcPr>
            <w:tcW w:w="1010" w:type="dxa"/>
            <w:vAlign w:val="center"/>
          </w:tcPr>
          <w:p>
            <w:pPr>
              <w:jc w:val="center"/>
              <w:rPr>
                <w:rFonts w:ascii="Times New Roman" w:hAnsi="Times New Roman" w:eastAsiaTheme="minorEastAsia"/>
                <w:sz w:val="15"/>
                <w:szCs w:val="15"/>
              </w:rPr>
            </w:pPr>
            <w:r>
              <w:rPr>
                <w:rFonts w:ascii="Times New Roman" w:hAnsi="Times New Roman" w:eastAsiaTheme="minorEastAsia"/>
                <w:bCs/>
                <w:sz w:val="15"/>
                <w:szCs w:val="15"/>
              </w:rPr>
              <w:t>0.0048 t</w:t>
            </w:r>
          </w:p>
        </w:tc>
        <w:tc>
          <w:tcPr>
            <w:tcW w:w="1279" w:type="dxa"/>
            <w:gridSpan w:val="2"/>
            <w:vAlign w:val="center"/>
          </w:tcPr>
          <w:p>
            <w:pPr>
              <w:jc w:val="center"/>
              <w:rPr>
                <w:rFonts w:ascii="Times New Roman" w:hAnsi="Times New Roman" w:eastAsiaTheme="minorEastAsia"/>
                <w:sz w:val="15"/>
                <w:szCs w:val="15"/>
              </w:rPr>
            </w:pPr>
          </w:p>
        </w:tc>
        <w:tc>
          <w:tcPr>
            <w:tcW w:w="1133" w:type="dxa"/>
            <w:vAlign w:val="center"/>
          </w:tcPr>
          <w:p>
            <w:pPr>
              <w:jc w:val="center"/>
              <w:rPr>
                <w:rFonts w:ascii="Times New Roman" w:hAnsi="Times New Roman" w:eastAsiaTheme="minorEastAsia"/>
                <w:sz w:val="15"/>
                <w:szCs w:val="15"/>
              </w:rPr>
            </w:pPr>
          </w:p>
        </w:tc>
        <w:tc>
          <w:tcPr>
            <w:tcW w:w="813" w:type="dxa"/>
            <w:vAlign w:val="center"/>
          </w:tcPr>
          <w:p>
            <w:pPr>
              <w:jc w:val="center"/>
              <w:rPr>
                <w:rFonts w:ascii="Times New Roman" w:hAnsi="Times New Roman" w:eastAsiaTheme="minorEastAsia"/>
                <w:sz w:val="15"/>
                <w:szCs w:val="15"/>
              </w:rPr>
            </w:pPr>
            <w:r>
              <w:rPr>
                <w:rFonts w:ascii="Times New Roman" w:hAnsi="Times New Roman" w:eastAsiaTheme="minorEastAsia"/>
                <w:bCs/>
                <w:sz w:val="15"/>
                <w:szCs w:val="15"/>
              </w:rPr>
              <w:t>0.0048 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933"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石油类</w:t>
            </w:r>
          </w:p>
        </w:tc>
        <w:tc>
          <w:tcPr>
            <w:tcW w:w="761" w:type="dxa"/>
            <w:vAlign w:val="center"/>
          </w:tcPr>
          <w:p>
            <w:pPr>
              <w:jc w:val="center"/>
              <w:rPr>
                <w:rFonts w:ascii="Times New Roman" w:hAnsi="Times New Roman" w:eastAsiaTheme="minorEastAsia"/>
                <w:sz w:val="15"/>
                <w:szCs w:val="15"/>
              </w:rPr>
            </w:pPr>
          </w:p>
        </w:tc>
        <w:tc>
          <w:tcPr>
            <w:tcW w:w="1418" w:type="dxa"/>
            <w:vAlign w:val="center"/>
          </w:tcPr>
          <w:p>
            <w:pPr>
              <w:jc w:val="center"/>
              <w:rPr>
                <w:rFonts w:ascii="Times New Roman" w:hAnsi="Times New Roman" w:eastAsiaTheme="minorEastAsia"/>
                <w:bCs/>
                <w:sz w:val="15"/>
                <w:szCs w:val="15"/>
              </w:rPr>
            </w:pPr>
          </w:p>
        </w:tc>
        <w:tc>
          <w:tcPr>
            <w:tcW w:w="1127" w:type="dxa"/>
            <w:vAlign w:val="center"/>
          </w:tcPr>
          <w:p>
            <w:pPr>
              <w:jc w:val="center"/>
              <w:rPr>
                <w:rFonts w:ascii="Times New Roman" w:hAnsi="Times New Roman" w:eastAsiaTheme="minorEastAsia"/>
                <w:bCs/>
                <w:sz w:val="15"/>
                <w:szCs w:val="15"/>
              </w:rPr>
            </w:pPr>
          </w:p>
        </w:tc>
        <w:tc>
          <w:tcPr>
            <w:tcW w:w="1020" w:type="dxa"/>
            <w:gridSpan w:val="2"/>
            <w:vAlign w:val="center"/>
          </w:tcPr>
          <w:p>
            <w:pPr>
              <w:jc w:val="center"/>
              <w:rPr>
                <w:rFonts w:ascii="Times New Roman" w:hAnsi="Times New Roman" w:eastAsiaTheme="minorEastAsia"/>
                <w:bCs/>
                <w:sz w:val="15"/>
                <w:szCs w:val="15"/>
              </w:rPr>
            </w:pPr>
          </w:p>
        </w:tc>
        <w:tc>
          <w:tcPr>
            <w:tcW w:w="1128" w:type="dxa"/>
            <w:gridSpan w:val="2"/>
            <w:vAlign w:val="center"/>
          </w:tcPr>
          <w:p>
            <w:pPr>
              <w:jc w:val="center"/>
              <w:rPr>
                <w:rFonts w:ascii="Times New Roman" w:hAnsi="Times New Roman" w:eastAsiaTheme="minorEastAsia"/>
                <w:bCs/>
                <w:sz w:val="15"/>
                <w:szCs w:val="15"/>
              </w:rPr>
            </w:pPr>
          </w:p>
        </w:tc>
        <w:tc>
          <w:tcPr>
            <w:tcW w:w="1169" w:type="dxa"/>
            <w:vAlign w:val="center"/>
          </w:tcPr>
          <w:p>
            <w:pPr>
              <w:jc w:val="center"/>
              <w:rPr>
                <w:rFonts w:ascii="Times New Roman" w:hAnsi="Times New Roman" w:eastAsiaTheme="minorEastAsia"/>
                <w:bCs/>
                <w:sz w:val="15"/>
                <w:szCs w:val="15"/>
              </w:rPr>
            </w:pPr>
          </w:p>
        </w:tc>
        <w:tc>
          <w:tcPr>
            <w:tcW w:w="1068" w:type="dxa"/>
            <w:vAlign w:val="center"/>
          </w:tcPr>
          <w:p>
            <w:pPr>
              <w:jc w:val="center"/>
              <w:rPr>
                <w:rFonts w:ascii="Times New Roman" w:hAnsi="Times New Roman" w:eastAsiaTheme="minorEastAsia"/>
                <w:sz w:val="15"/>
                <w:szCs w:val="15"/>
              </w:rPr>
            </w:pPr>
          </w:p>
        </w:tc>
        <w:tc>
          <w:tcPr>
            <w:tcW w:w="1838" w:type="dxa"/>
            <w:vAlign w:val="center"/>
          </w:tcPr>
          <w:p>
            <w:pPr>
              <w:jc w:val="center"/>
              <w:rPr>
                <w:rFonts w:ascii="Times New Roman" w:hAnsi="Times New Roman" w:eastAsiaTheme="minorEastAsia"/>
                <w:sz w:val="15"/>
                <w:szCs w:val="15"/>
              </w:rPr>
            </w:pPr>
          </w:p>
        </w:tc>
        <w:tc>
          <w:tcPr>
            <w:tcW w:w="1010" w:type="dxa"/>
            <w:vAlign w:val="center"/>
          </w:tcPr>
          <w:p>
            <w:pPr>
              <w:jc w:val="center"/>
              <w:rPr>
                <w:rFonts w:ascii="Times New Roman" w:hAnsi="Times New Roman" w:eastAsiaTheme="minorEastAsia"/>
                <w:sz w:val="15"/>
                <w:szCs w:val="15"/>
              </w:rPr>
            </w:pPr>
          </w:p>
        </w:tc>
        <w:tc>
          <w:tcPr>
            <w:tcW w:w="1279" w:type="dxa"/>
            <w:gridSpan w:val="2"/>
            <w:vAlign w:val="center"/>
          </w:tcPr>
          <w:p>
            <w:pPr>
              <w:jc w:val="center"/>
              <w:rPr>
                <w:rFonts w:ascii="Times New Roman" w:hAnsi="Times New Roman" w:eastAsiaTheme="minorEastAsia"/>
                <w:sz w:val="15"/>
                <w:szCs w:val="15"/>
              </w:rPr>
            </w:pPr>
          </w:p>
        </w:tc>
        <w:tc>
          <w:tcPr>
            <w:tcW w:w="1133" w:type="dxa"/>
            <w:vAlign w:val="center"/>
          </w:tcPr>
          <w:p>
            <w:pPr>
              <w:jc w:val="center"/>
              <w:rPr>
                <w:rFonts w:ascii="Times New Roman" w:hAnsi="Times New Roman" w:eastAsiaTheme="minorEastAsia"/>
                <w:sz w:val="15"/>
                <w:szCs w:val="15"/>
              </w:rPr>
            </w:pPr>
          </w:p>
        </w:tc>
        <w:tc>
          <w:tcPr>
            <w:tcW w:w="813" w:type="dxa"/>
            <w:vAlign w:val="center"/>
          </w:tcPr>
          <w:p>
            <w:pPr>
              <w:jc w:val="center"/>
              <w:rPr>
                <w:rFonts w:ascii="Times New Roman" w:hAnsi="Times New Roman"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933"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废气</w:t>
            </w:r>
          </w:p>
        </w:tc>
        <w:tc>
          <w:tcPr>
            <w:tcW w:w="761" w:type="dxa"/>
            <w:vAlign w:val="center"/>
          </w:tcPr>
          <w:p>
            <w:pPr>
              <w:jc w:val="center"/>
              <w:rPr>
                <w:rFonts w:ascii="Times New Roman" w:hAnsi="Times New Roman" w:eastAsiaTheme="minorEastAsia"/>
                <w:color w:val="FF0000"/>
                <w:sz w:val="15"/>
                <w:szCs w:val="15"/>
              </w:rPr>
            </w:pPr>
          </w:p>
        </w:tc>
        <w:tc>
          <w:tcPr>
            <w:tcW w:w="1418" w:type="dxa"/>
            <w:vAlign w:val="center"/>
          </w:tcPr>
          <w:p>
            <w:pPr>
              <w:jc w:val="center"/>
              <w:rPr>
                <w:rFonts w:ascii="Times New Roman" w:hAnsi="Times New Roman" w:eastAsiaTheme="minorEastAsia"/>
                <w:color w:val="FF0000"/>
                <w:sz w:val="15"/>
                <w:szCs w:val="15"/>
              </w:rPr>
            </w:pPr>
          </w:p>
        </w:tc>
        <w:tc>
          <w:tcPr>
            <w:tcW w:w="1127" w:type="dxa"/>
            <w:vAlign w:val="center"/>
          </w:tcPr>
          <w:p>
            <w:pPr>
              <w:jc w:val="center"/>
              <w:rPr>
                <w:rFonts w:ascii="Times New Roman" w:hAnsi="Times New Roman" w:eastAsiaTheme="minorEastAsia"/>
                <w:color w:val="FF0000"/>
                <w:sz w:val="15"/>
                <w:szCs w:val="15"/>
              </w:rPr>
            </w:pPr>
          </w:p>
        </w:tc>
        <w:tc>
          <w:tcPr>
            <w:tcW w:w="1020" w:type="dxa"/>
            <w:gridSpan w:val="2"/>
            <w:vAlign w:val="center"/>
          </w:tcPr>
          <w:p>
            <w:pPr>
              <w:jc w:val="center"/>
              <w:rPr>
                <w:rFonts w:ascii="Times New Roman" w:hAnsi="Times New Roman" w:eastAsiaTheme="minorEastAsia"/>
                <w:color w:val="FF0000"/>
                <w:sz w:val="15"/>
                <w:szCs w:val="15"/>
              </w:rPr>
            </w:pPr>
          </w:p>
        </w:tc>
        <w:tc>
          <w:tcPr>
            <w:tcW w:w="1128" w:type="dxa"/>
            <w:gridSpan w:val="2"/>
            <w:vAlign w:val="center"/>
          </w:tcPr>
          <w:p>
            <w:pPr>
              <w:jc w:val="center"/>
              <w:rPr>
                <w:rFonts w:ascii="Times New Roman" w:hAnsi="Times New Roman" w:eastAsiaTheme="minorEastAsia"/>
                <w:color w:val="FF0000"/>
                <w:sz w:val="15"/>
                <w:szCs w:val="15"/>
              </w:rPr>
            </w:pPr>
          </w:p>
        </w:tc>
        <w:tc>
          <w:tcPr>
            <w:tcW w:w="1169" w:type="dxa"/>
            <w:vAlign w:val="center"/>
          </w:tcPr>
          <w:p>
            <w:pPr>
              <w:jc w:val="center"/>
              <w:rPr>
                <w:rFonts w:ascii="Times New Roman" w:hAnsi="Times New Roman" w:eastAsiaTheme="minorEastAsia"/>
                <w:color w:val="FF0000"/>
                <w:sz w:val="15"/>
                <w:szCs w:val="15"/>
              </w:rPr>
            </w:pPr>
          </w:p>
        </w:tc>
        <w:tc>
          <w:tcPr>
            <w:tcW w:w="1068" w:type="dxa"/>
            <w:vAlign w:val="center"/>
          </w:tcPr>
          <w:p>
            <w:pPr>
              <w:jc w:val="center"/>
              <w:rPr>
                <w:rFonts w:ascii="Times New Roman" w:hAnsi="Times New Roman" w:eastAsiaTheme="minorEastAsia"/>
                <w:color w:val="FF0000"/>
                <w:sz w:val="15"/>
                <w:szCs w:val="15"/>
              </w:rPr>
            </w:pPr>
          </w:p>
        </w:tc>
        <w:tc>
          <w:tcPr>
            <w:tcW w:w="1838" w:type="dxa"/>
            <w:vAlign w:val="center"/>
          </w:tcPr>
          <w:p>
            <w:pPr>
              <w:jc w:val="center"/>
              <w:rPr>
                <w:rFonts w:ascii="Times New Roman" w:hAnsi="Times New Roman" w:eastAsiaTheme="minorEastAsia"/>
                <w:color w:val="FF0000"/>
                <w:sz w:val="15"/>
                <w:szCs w:val="15"/>
              </w:rPr>
            </w:pPr>
          </w:p>
        </w:tc>
        <w:tc>
          <w:tcPr>
            <w:tcW w:w="1010" w:type="dxa"/>
            <w:vAlign w:val="center"/>
          </w:tcPr>
          <w:p>
            <w:pPr>
              <w:jc w:val="center"/>
              <w:rPr>
                <w:rFonts w:ascii="Times New Roman" w:hAnsi="Times New Roman" w:eastAsiaTheme="minorEastAsia"/>
                <w:color w:val="FF0000"/>
                <w:sz w:val="15"/>
                <w:szCs w:val="15"/>
              </w:rPr>
            </w:pPr>
          </w:p>
        </w:tc>
        <w:tc>
          <w:tcPr>
            <w:tcW w:w="1279" w:type="dxa"/>
            <w:gridSpan w:val="2"/>
            <w:vAlign w:val="center"/>
          </w:tcPr>
          <w:p>
            <w:pPr>
              <w:jc w:val="center"/>
              <w:rPr>
                <w:rFonts w:ascii="Times New Roman" w:hAnsi="Times New Roman" w:eastAsiaTheme="minorEastAsia"/>
                <w:color w:val="FF0000"/>
                <w:sz w:val="15"/>
                <w:szCs w:val="15"/>
              </w:rPr>
            </w:pPr>
          </w:p>
        </w:tc>
        <w:tc>
          <w:tcPr>
            <w:tcW w:w="1133" w:type="dxa"/>
            <w:vAlign w:val="center"/>
          </w:tcPr>
          <w:p>
            <w:pPr>
              <w:jc w:val="center"/>
              <w:rPr>
                <w:rFonts w:ascii="Times New Roman" w:hAnsi="Times New Roman" w:eastAsiaTheme="minorEastAsia"/>
                <w:color w:val="FF0000"/>
                <w:sz w:val="15"/>
                <w:szCs w:val="15"/>
              </w:rPr>
            </w:pPr>
          </w:p>
        </w:tc>
        <w:tc>
          <w:tcPr>
            <w:tcW w:w="813" w:type="dxa"/>
            <w:vAlign w:val="center"/>
          </w:tcPr>
          <w:p>
            <w:pPr>
              <w:jc w:val="center"/>
              <w:rPr>
                <w:rFonts w:ascii="Times New Roman" w:hAnsi="Times New Roman" w:eastAsiaTheme="minorEastAsia"/>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933"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二氧化硫</w:t>
            </w:r>
          </w:p>
        </w:tc>
        <w:tc>
          <w:tcPr>
            <w:tcW w:w="761" w:type="dxa"/>
            <w:vAlign w:val="center"/>
          </w:tcPr>
          <w:p>
            <w:pPr>
              <w:jc w:val="center"/>
              <w:rPr>
                <w:rFonts w:ascii="Times New Roman" w:hAnsi="Times New Roman" w:eastAsiaTheme="minorEastAsia"/>
                <w:bCs/>
                <w:color w:val="FF0000"/>
                <w:sz w:val="15"/>
                <w:szCs w:val="15"/>
              </w:rPr>
            </w:pPr>
          </w:p>
        </w:tc>
        <w:tc>
          <w:tcPr>
            <w:tcW w:w="1418" w:type="dxa"/>
            <w:vAlign w:val="center"/>
          </w:tcPr>
          <w:p>
            <w:pPr>
              <w:jc w:val="center"/>
              <w:rPr>
                <w:rFonts w:ascii="Times New Roman" w:hAnsi="Times New Roman" w:eastAsiaTheme="minorEastAsia"/>
                <w:bCs/>
                <w:color w:val="FF0000"/>
                <w:sz w:val="15"/>
                <w:szCs w:val="15"/>
              </w:rPr>
            </w:pPr>
          </w:p>
        </w:tc>
        <w:tc>
          <w:tcPr>
            <w:tcW w:w="1127" w:type="dxa"/>
            <w:vAlign w:val="center"/>
          </w:tcPr>
          <w:p>
            <w:pPr>
              <w:jc w:val="center"/>
              <w:rPr>
                <w:rFonts w:ascii="Times New Roman" w:hAnsi="Times New Roman" w:eastAsiaTheme="minorEastAsia"/>
                <w:bCs/>
                <w:color w:val="FF0000"/>
                <w:sz w:val="15"/>
                <w:szCs w:val="15"/>
              </w:rPr>
            </w:pPr>
          </w:p>
        </w:tc>
        <w:tc>
          <w:tcPr>
            <w:tcW w:w="1020" w:type="dxa"/>
            <w:gridSpan w:val="2"/>
            <w:vAlign w:val="center"/>
          </w:tcPr>
          <w:p>
            <w:pPr>
              <w:jc w:val="center"/>
              <w:rPr>
                <w:rFonts w:ascii="Times New Roman" w:hAnsi="Times New Roman" w:eastAsiaTheme="minorEastAsia"/>
                <w:bCs/>
                <w:color w:val="FF0000"/>
                <w:sz w:val="15"/>
                <w:szCs w:val="15"/>
              </w:rPr>
            </w:pPr>
          </w:p>
        </w:tc>
        <w:tc>
          <w:tcPr>
            <w:tcW w:w="1128" w:type="dxa"/>
            <w:gridSpan w:val="2"/>
            <w:vAlign w:val="center"/>
          </w:tcPr>
          <w:p>
            <w:pPr>
              <w:jc w:val="center"/>
              <w:rPr>
                <w:rFonts w:ascii="Times New Roman" w:hAnsi="Times New Roman" w:eastAsiaTheme="minorEastAsia"/>
                <w:color w:val="FF0000"/>
                <w:sz w:val="15"/>
                <w:szCs w:val="15"/>
              </w:rPr>
            </w:pPr>
          </w:p>
        </w:tc>
        <w:tc>
          <w:tcPr>
            <w:tcW w:w="1169" w:type="dxa"/>
            <w:vAlign w:val="center"/>
          </w:tcPr>
          <w:p>
            <w:pPr>
              <w:jc w:val="center"/>
              <w:rPr>
                <w:rFonts w:ascii="Times New Roman" w:hAnsi="Times New Roman" w:eastAsiaTheme="minorEastAsia"/>
                <w:bCs/>
                <w:color w:val="FF0000"/>
                <w:sz w:val="15"/>
                <w:szCs w:val="15"/>
              </w:rPr>
            </w:pPr>
          </w:p>
        </w:tc>
        <w:tc>
          <w:tcPr>
            <w:tcW w:w="1068" w:type="dxa"/>
            <w:vAlign w:val="center"/>
          </w:tcPr>
          <w:p>
            <w:pPr>
              <w:jc w:val="center"/>
              <w:rPr>
                <w:rFonts w:ascii="Times New Roman" w:hAnsi="Times New Roman" w:eastAsiaTheme="minorEastAsia"/>
                <w:bCs/>
                <w:color w:val="FF0000"/>
                <w:sz w:val="15"/>
                <w:szCs w:val="15"/>
              </w:rPr>
            </w:pPr>
          </w:p>
        </w:tc>
        <w:tc>
          <w:tcPr>
            <w:tcW w:w="1838" w:type="dxa"/>
            <w:vAlign w:val="center"/>
          </w:tcPr>
          <w:p>
            <w:pPr>
              <w:jc w:val="center"/>
              <w:rPr>
                <w:rFonts w:ascii="Times New Roman" w:hAnsi="Times New Roman" w:eastAsiaTheme="minorEastAsia"/>
                <w:color w:val="FF0000"/>
                <w:sz w:val="15"/>
                <w:szCs w:val="15"/>
              </w:rPr>
            </w:pPr>
          </w:p>
        </w:tc>
        <w:tc>
          <w:tcPr>
            <w:tcW w:w="1010" w:type="dxa"/>
            <w:vAlign w:val="center"/>
          </w:tcPr>
          <w:p>
            <w:pPr>
              <w:jc w:val="center"/>
              <w:rPr>
                <w:rFonts w:ascii="Times New Roman" w:hAnsi="Times New Roman" w:eastAsiaTheme="minorEastAsia"/>
                <w:color w:val="FF0000"/>
                <w:sz w:val="15"/>
                <w:szCs w:val="15"/>
              </w:rPr>
            </w:pPr>
          </w:p>
        </w:tc>
        <w:tc>
          <w:tcPr>
            <w:tcW w:w="1279" w:type="dxa"/>
            <w:gridSpan w:val="2"/>
            <w:vAlign w:val="center"/>
          </w:tcPr>
          <w:p>
            <w:pPr>
              <w:jc w:val="center"/>
              <w:rPr>
                <w:rFonts w:ascii="Times New Roman" w:hAnsi="Times New Roman" w:eastAsiaTheme="minorEastAsia"/>
                <w:color w:val="FF0000"/>
                <w:sz w:val="15"/>
                <w:szCs w:val="15"/>
              </w:rPr>
            </w:pPr>
          </w:p>
        </w:tc>
        <w:tc>
          <w:tcPr>
            <w:tcW w:w="1133" w:type="dxa"/>
            <w:vAlign w:val="center"/>
          </w:tcPr>
          <w:p>
            <w:pPr>
              <w:jc w:val="center"/>
              <w:textAlignment w:val="center"/>
              <w:rPr>
                <w:rFonts w:ascii="Times New Roman" w:hAnsi="Times New Roman" w:eastAsiaTheme="minorEastAsia"/>
                <w:color w:val="FF0000"/>
                <w:sz w:val="15"/>
                <w:szCs w:val="15"/>
              </w:rPr>
            </w:pPr>
          </w:p>
        </w:tc>
        <w:tc>
          <w:tcPr>
            <w:tcW w:w="813" w:type="dxa"/>
            <w:vAlign w:val="center"/>
          </w:tcPr>
          <w:p>
            <w:pPr>
              <w:jc w:val="center"/>
              <w:rPr>
                <w:rFonts w:ascii="Times New Roman" w:hAnsi="Times New Roman" w:eastAsiaTheme="minorEastAsia"/>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933"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烟尘</w:t>
            </w:r>
          </w:p>
        </w:tc>
        <w:tc>
          <w:tcPr>
            <w:tcW w:w="761" w:type="dxa"/>
            <w:vAlign w:val="center"/>
          </w:tcPr>
          <w:p>
            <w:pPr>
              <w:jc w:val="center"/>
              <w:rPr>
                <w:rFonts w:ascii="Times New Roman" w:hAnsi="Times New Roman" w:eastAsiaTheme="minorEastAsia"/>
                <w:bCs/>
                <w:color w:val="FF0000"/>
                <w:sz w:val="15"/>
                <w:szCs w:val="15"/>
              </w:rPr>
            </w:pPr>
          </w:p>
        </w:tc>
        <w:tc>
          <w:tcPr>
            <w:tcW w:w="1418" w:type="dxa"/>
            <w:vAlign w:val="center"/>
          </w:tcPr>
          <w:p>
            <w:pPr>
              <w:jc w:val="center"/>
              <w:rPr>
                <w:rFonts w:ascii="Times New Roman" w:hAnsi="Times New Roman" w:eastAsiaTheme="minorEastAsia"/>
                <w:bCs/>
                <w:color w:val="FF0000"/>
                <w:sz w:val="15"/>
                <w:szCs w:val="15"/>
              </w:rPr>
            </w:pPr>
          </w:p>
        </w:tc>
        <w:tc>
          <w:tcPr>
            <w:tcW w:w="1127" w:type="dxa"/>
            <w:vAlign w:val="center"/>
          </w:tcPr>
          <w:p>
            <w:pPr>
              <w:jc w:val="center"/>
              <w:rPr>
                <w:rFonts w:ascii="Times New Roman" w:hAnsi="Times New Roman" w:eastAsiaTheme="minorEastAsia"/>
                <w:bCs/>
                <w:color w:val="FF0000"/>
                <w:sz w:val="15"/>
                <w:szCs w:val="15"/>
              </w:rPr>
            </w:pPr>
          </w:p>
        </w:tc>
        <w:tc>
          <w:tcPr>
            <w:tcW w:w="1020" w:type="dxa"/>
            <w:gridSpan w:val="2"/>
            <w:vAlign w:val="center"/>
          </w:tcPr>
          <w:p>
            <w:pPr>
              <w:jc w:val="center"/>
              <w:rPr>
                <w:rFonts w:ascii="Times New Roman" w:hAnsi="Times New Roman" w:eastAsiaTheme="minorEastAsia"/>
                <w:bCs/>
                <w:color w:val="FF0000"/>
                <w:sz w:val="15"/>
                <w:szCs w:val="15"/>
              </w:rPr>
            </w:pPr>
          </w:p>
        </w:tc>
        <w:tc>
          <w:tcPr>
            <w:tcW w:w="1128" w:type="dxa"/>
            <w:gridSpan w:val="2"/>
            <w:vAlign w:val="center"/>
          </w:tcPr>
          <w:p>
            <w:pPr>
              <w:jc w:val="center"/>
              <w:rPr>
                <w:rFonts w:ascii="Times New Roman" w:hAnsi="Times New Roman" w:eastAsiaTheme="minorEastAsia"/>
                <w:color w:val="FF0000"/>
                <w:sz w:val="15"/>
                <w:szCs w:val="15"/>
              </w:rPr>
            </w:pPr>
          </w:p>
        </w:tc>
        <w:tc>
          <w:tcPr>
            <w:tcW w:w="1169" w:type="dxa"/>
            <w:vAlign w:val="center"/>
          </w:tcPr>
          <w:p>
            <w:pPr>
              <w:jc w:val="center"/>
              <w:rPr>
                <w:rFonts w:ascii="Times New Roman" w:hAnsi="Times New Roman" w:eastAsiaTheme="minorEastAsia"/>
                <w:bCs/>
                <w:color w:val="FF0000"/>
                <w:sz w:val="15"/>
                <w:szCs w:val="15"/>
              </w:rPr>
            </w:pPr>
          </w:p>
        </w:tc>
        <w:tc>
          <w:tcPr>
            <w:tcW w:w="1068" w:type="dxa"/>
            <w:vAlign w:val="center"/>
          </w:tcPr>
          <w:p>
            <w:pPr>
              <w:jc w:val="center"/>
              <w:rPr>
                <w:rFonts w:ascii="Times New Roman" w:hAnsi="Times New Roman" w:eastAsiaTheme="minorEastAsia"/>
                <w:bCs/>
                <w:color w:val="FF0000"/>
                <w:sz w:val="15"/>
                <w:szCs w:val="15"/>
              </w:rPr>
            </w:pPr>
          </w:p>
        </w:tc>
        <w:tc>
          <w:tcPr>
            <w:tcW w:w="1838" w:type="dxa"/>
            <w:vAlign w:val="center"/>
          </w:tcPr>
          <w:p>
            <w:pPr>
              <w:jc w:val="center"/>
              <w:rPr>
                <w:rFonts w:ascii="Times New Roman" w:hAnsi="Times New Roman" w:eastAsiaTheme="minorEastAsia"/>
                <w:color w:val="FF0000"/>
                <w:sz w:val="15"/>
                <w:szCs w:val="15"/>
              </w:rPr>
            </w:pPr>
          </w:p>
        </w:tc>
        <w:tc>
          <w:tcPr>
            <w:tcW w:w="1010" w:type="dxa"/>
            <w:vAlign w:val="center"/>
          </w:tcPr>
          <w:p>
            <w:pPr>
              <w:jc w:val="center"/>
              <w:rPr>
                <w:rFonts w:ascii="Times New Roman" w:hAnsi="Times New Roman" w:eastAsiaTheme="minorEastAsia"/>
                <w:color w:val="FF0000"/>
                <w:sz w:val="15"/>
                <w:szCs w:val="15"/>
              </w:rPr>
            </w:pPr>
          </w:p>
        </w:tc>
        <w:tc>
          <w:tcPr>
            <w:tcW w:w="1279" w:type="dxa"/>
            <w:gridSpan w:val="2"/>
            <w:vAlign w:val="center"/>
          </w:tcPr>
          <w:p>
            <w:pPr>
              <w:jc w:val="center"/>
              <w:rPr>
                <w:rFonts w:ascii="Times New Roman" w:hAnsi="Times New Roman" w:eastAsiaTheme="minorEastAsia"/>
                <w:color w:val="FF0000"/>
                <w:sz w:val="15"/>
                <w:szCs w:val="15"/>
              </w:rPr>
            </w:pPr>
          </w:p>
        </w:tc>
        <w:tc>
          <w:tcPr>
            <w:tcW w:w="1133" w:type="dxa"/>
            <w:vAlign w:val="center"/>
          </w:tcPr>
          <w:p>
            <w:pPr>
              <w:jc w:val="center"/>
              <w:textAlignment w:val="center"/>
              <w:rPr>
                <w:rFonts w:ascii="Times New Roman" w:hAnsi="Times New Roman" w:eastAsiaTheme="minorEastAsia"/>
                <w:color w:val="FF0000"/>
                <w:sz w:val="15"/>
                <w:szCs w:val="15"/>
              </w:rPr>
            </w:pPr>
          </w:p>
        </w:tc>
        <w:tc>
          <w:tcPr>
            <w:tcW w:w="813" w:type="dxa"/>
            <w:vAlign w:val="center"/>
          </w:tcPr>
          <w:p>
            <w:pPr>
              <w:jc w:val="center"/>
              <w:rPr>
                <w:rFonts w:ascii="Times New Roman" w:hAnsi="Times New Roman" w:eastAsiaTheme="minorEastAsia"/>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933"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工业粉尘</w:t>
            </w:r>
          </w:p>
        </w:tc>
        <w:tc>
          <w:tcPr>
            <w:tcW w:w="761" w:type="dxa"/>
            <w:vAlign w:val="center"/>
          </w:tcPr>
          <w:p>
            <w:pPr>
              <w:jc w:val="center"/>
              <w:rPr>
                <w:rFonts w:ascii="Times New Roman" w:hAnsi="Times New Roman" w:eastAsiaTheme="minorEastAsia"/>
                <w:bCs/>
                <w:color w:val="FF0000"/>
                <w:sz w:val="15"/>
                <w:szCs w:val="15"/>
              </w:rPr>
            </w:pPr>
          </w:p>
        </w:tc>
        <w:tc>
          <w:tcPr>
            <w:tcW w:w="1418" w:type="dxa"/>
            <w:vAlign w:val="center"/>
          </w:tcPr>
          <w:p>
            <w:pPr>
              <w:jc w:val="center"/>
              <w:rPr>
                <w:rFonts w:ascii="Times New Roman" w:hAnsi="Times New Roman" w:eastAsiaTheme="minorEastAsia"/>
                <w:bCs/>
                <w:color w:val="FF0000"/>
                <w:sz w:val="15"/>
                <w:szCs w:val="15"/>
              </w:rPr>
            </w:pPr>
          </w:p>
        </w:tc>
        <w:tc>
          <w:tcPr>
            <w:tcW w:w="1127" w:type="dxa"/>
            <w:vAlign w:val="center"/>
          </w:tcPr>
          <w:p>
            <w:pPr>
              <w:jc w:val="center"/>
              <w:rPr>
                <w:rFonts w:ascii="Times New Roman" w:hAnsi="Times New Roman" w:eastAsiaTheme="minorEastAsia"/>
                <w:bCs/>
                <w:color w:val="FF0000"/>
                <w:sz w:val="15"/>
                <w:szCs w:val="15"/>
              </w:rPr>
            </w:pPr>
          </w:p>
        </w:tc>
        <w:tc>
          <w:tcPr>
            <w:tcW w:w="1020" w:type="dxa"/>
            <w:gridSpan w:val="2"/>
            <w:vAlign w:val="center"/>
          </w:tcPr>
          <w:p>
            <w:pPr>
              <w:jc w:val="center"/>
              <w:rPr>
                <w:rFonts w:ascii="Times New Roman" w:hAnsi="Times New Roman" w:eastAsiaTheme="minorEastAsia"/>
                <w:bCs/>
                <w:color w:val="FF0000"/>
                <w:sz w:val="15"/>
                <w:szCs w:val="15"/>
              </w:rPr>
            </w:pPr>
          </w:p>
        </w:tc>
        <w:tc>
          <w:tcPr>
            <w:tcW w:w="1128" w:type="dxa"/>
            <w:gridSpan w:val="2"/>
            <w:vAlign w:val="center"/>
          </w:tcPr>
          <w:p>
            <w:pPr>
              <w:jc w:val="center"/>
              <w:rPr>
                <w:rFonts w:ascii="Times New Roman" w:hAnsi="Times New Roman" w:eastAsiaTheme="minorEastAsia"/>
                <w:bCs/>
                <w:color w:val="FF0000"/>
                <w:sz w:val="15"/>
                <w:szCs w:val="15"/>
              </w:rPr>
            </w:pPr>
          </w:p>
        </w:tc>
        <w:tc>
          <w:tcPr>
            <w:tcW w:w="1169" w:type="dxa"/>
            <w:vAlign w:val="center"/>
          </w:tcPr>
          <w:p>
            <w:pPr>
              <w:jc w:val="center"/>
              <w:rPr>
                <w:rFonts w:ascii="Times New Roman" w:hAnsi="Times New Roman" w:eastAsiaTheme="minorEastAsia"/>
                <w:bCs/>
                <w:color w:val="FF0000"/>
                <w:sz w:val="15"/>
                <w:szCs w:val="15"/>
              </w:rPr>
            </w:pPr>
          </w:p>
        </w:tc>
        <w:tc>
          <w:tcPr>
            <w:tcW w:w="1068" w:type="dxa"/>
            <w:vAlign w:val="center"/>
          </w:tcPr>
          <w:p>
            <w:pPr>
              <w:jc w:val="center"/>
              <w:rPr>
                <w:rFonts w:ascii="Times New Roman" w:hAnsi="Times New Roman" w:eastAsiaTheme="minorEastAsia"/>
                <w:bCs/>
                <w:color w:val="FF0000"/>
                <w:sz w:val="15"/>
                <w:szCs w:val="15"/>
              </w:rPr>
            </w:pPr>
          </w:p>
        </w:tc>
        <w:tc>
          <w:tcPr>
            <w:tcW w:w="1838" w:type="dxa"/>
            <w:vAlign w:val="center"/>
          </w:tcPr>
          <w:p>
            <w:pPr>
              <w:jc w:val="center"/>
              <w:rPr>
                <w:rFonts w:ascii="Times New Roman" w:hAnsi="Times New Roman" w:eastAsiaTheme="minorEastAsia"/>
                <w:color w:val="FF0000"/>
                <w:sz w:val="15"/>
                <w:szCs w:val="15"/>
              </w:rPr>
            </w:pPr>
          </w:p>
        </w:tc>
        <w:tc>
          <w:tcPr>
            <w:tcW w:w="1010" w:type="dxa"/>
            <w:vAlign w:val="center"/>
          </w:tcPr>
          <w:p>
            <w:pPr>
              <w:jc w:val="center"/>
              <w:rPr>
                <w:rFonts w:ascii="Times New Roman" w:hAnsi="Times New Roman" w:eastAsiaTheme="minorEastAsia"/>
                <w:color w:val="FF0000"/>
                <w:sz w:val="15"/>
                <w:szCs w:val="15"/>
              </w:rPr>
            </w:pPr>
          </w:p>
        </w:tc>
        <w:tc>
          <w:tcPr>
            <w:tcW w:w="1279" w:type="dxa"/>
            <w:gridSpan w:val="2"/>
            <w:vAlign w:val="center"/>
          </w:tcPr>
          <w:p>
            <w:pPr>
              <w:jc w:val="center"/>
              <w:rPr>
                <w:rFonts w:ascii="Times New Roman" w:hAnsi="Times New Roman" w:eastAsiaTheme="minorEastAsia"/>
                <w:color w:val="FF0000"/>
                <w:sz w:val="15"/>
                <w:szCs w:val="15"/>
              </w:rPr>
            </w:pPr>
          </w:p>
        </w:tc>
        <w:tc>
          <w:tcPr>
            <w:tcW w:w="1133" w:type="dxa"/>
            <w:vAlign w:val="center"/>
          </w:tcPr>
          <w:p>
            <w:pPr>
              <w:jc w:val="center"/>
              <w:rPr>
                <w:rFonts w:ascii="Times New Roman" w:hAnsi="Times New Roman" w:eastAsiaTheme="minorEastAsia"/>
                <w:color w:val="FF0000"/>
                <w:sz w:val="15"/>
                <w:szCs w:val="15"/>
              </w:rPr>
            </w:pPr>
          </w:p>
        </w:tc>
        <w:tc>
          <w:tcPr>
            <w:tcW w:w="813" w:type="dxa"/>
            <w:vAlign w:val="center"/>
          </w:tcPr>
          <w:p>
            <w:pPr>
              <w:jc w:val="center"/>
              <w:rPr>
                <w:rFonts w:ascii="Times New Roman" w:hAnsi="Times New Roman" w:eastAsiaTheme="minorEastAsia"/>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933"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氮氧化物</w:t>
            </w:r>
          </w:p>
        </w:tc>
        <w:tc>
          <w:tcPr>
            <w:tcW w:w="761" w:type="dxa"/>
            <w:vAlign w:val="center"/>
          </w:tcPr>
          <w:p>
            <w:pPr>
              <w:jc w:val="center"/>
              <w:rPr>
                <w:rFonts w:ascii="Times New Roman" w:hAnsi="Times New Roman" w:eastAsiaTheme="minorEastAsia"/>
                <w:bCs/>
                <w:color w:val="FF0000"/>
                <w:sz w:val="15"/>
                <w:szCs w:val="15"/>
              </w:rPr>
            </w:pPr>
          </w:p>
        </w:tc>
        <w:tc>
          <w:tcPr>
            <w:tcW w:w="1418" w:type="dxa"/>
            <w:vAlign w:val="center"/>
          </w:tcPr>
          <w:p>
            <w:pPr>
              <w:jc w:val="center"/>
              <w:rPr>
                <w:rFonts w:ascii="Times New Roman" w:hAnsi="Times New Roman" w:eastAsiaTheme="minorEastAsia"/>
                <w:bCs/>
                <w:color w:val="FF0000"/>
                <w:sz w:val="15"/>
                <w:szCs w:val="15"/>
              </w:rPr>
            </w:pPr>
          </w:p>
        </w:tc>
        <w:tc>
          <w:tcPr>
            <w:tcW w:w="1127" w:type="dxa"/>
            <w:vAlign w:val="center"/>
          </w:tcPr>
          <w:p>
            <w:pPr>
              <w:jc w:val="center"/>
              <w:rPr>
                <w:rFonts w:ascii="Times New Roman" w:hAnsi="Times New Roman" w:eastAsiaTheme="minorEastAsia"/>
                <w:bCs/>
                <w:color w:val="FF0000"/>
                <w:sz w:val="15"/>
                <w:szCs w:val="15"/>
              </w:rPr>
            </w:pPr>
          </w:p>
        </w:tc>
        <w:tc>
          <w:tcPr>
            <w:tcW w:w="1020" w:type="dxa"/>
            <w:gridSpan w:val="2"/>
            <w:vAlign w:val="center"/>
          </w:tcPr>
          <w:p>
            <w:pPr>
              <w:jc w:val="center"/>
              <w:rPr>
                <w:rFonts w:ascii="Times New Roman" w:hAnsi="Times New Roman" w:eastAsiaTheme="minorEastAsia"/>
                <w:bCs/>
                <w:color w:val="FF0000"/>
                <w:sz w:val="15"/>
                <w:szCs w:val="15"/>
              </w:rPr>
            </w:pPr>
          </w:p>
        </w:tc>
        <w:tc>
          <w:tcPr>
            <w:tcW w:w="1128" w:type="dxa"/>
            <w:gridSpan w:val="2"/>
            <w:vAlign w:val="center"/>
          </w:tcPr>
          <w:p>
            <w:pPr>
              <w:jc w:val="center"/>
              <w:rPr>
                <w:rFonts w:ascii="Times New Roman" w:hAnsi="Times New Roman" w:eastAsiaTheme="minorEastAsia"/>
                <w:color w:val="FF0000"/>
                <w:sz w:val="15"/>
                <w:szCs w:val="15"/>
              </w:rPr>
            </w:pPr>
          </w:p>
        </w:tc>
        <w:tc>
          <w:tcPr>
            <w:tcW w:w="1169" w:type="dxa"/>
            <w:vAlign w:val="center"/>
          </w:tcPr>
          <w:p>
            <w:pPr>
              <w:jc w:val="center"/>
              <w:rPr>
                <w:rFonts w:ascii="Times New Roman" w:hAnsi="Times New Roman" w:eastAsiaTheme="minorEastAsia"/>
                <w:bCs/>
                <w:color w:val="FF0000"/>
                <w:sz w:val="15"/>
                <w:szCs w:val="15"/>
              </w:rPr>
            </w:pPr>
          </w:p>
        </w:tc>
        <w:tc>
          <w:tcPr>
            <w:tcW w:w="1068" w:type="dxa"/>
            <w:vAlign w:val="center"/>
          </w:tcPr>
          <w:p>
            <w:pPr>
              <w:jc w:val="center"/>
              <w:rPr>
                <w:rFonts w:ascii="Times New Roman" w:hAnsi="Times New Roman" w:eastAsiaTheme="minorEastAsia"/>
                <w:bCs/>
                <w:color w:val="FF0000"/>
                <w:sz w:val="15"/>
                <w:szCs w:val="15"/>
              </w:rPr>
            </w:pPr>
          </w:p>
        </w:tc>
        <w:tc>
          <w:tcPr>
            <w:tcW w:w="1838" w:type="dxa"/>
            <w:vAlign w:val="center"/>
          </w:tcPr>
          <w:p>
            <w:pPr>
              <w:jc w:val="center"/>
              <w:rPr>
                <w:rFonts w:ascii="Times New Roman" w:hAnsi="Times New Roman" w:eastAsiaTheme="minorEastAsia"/>
                <w:color w:val="FF0000"/>
                <w:sz w:val="15"/>
                <w:szCs w:val="15"/>
              </w:rPr>
            </w:pPr>
          </w:p>
        </w:tc>
        <w:tc>
          <w:tcPr>
            <w:tcW w:w="1010" w:type="dxa"/>
            <w:vAlign w:val="center"/>
          </w:tcPr>
          <w:p>
            <w:pPr>
              <w:jc w:val="center"/>
              <w:rPr>
                <w:rFonts w:ascii="Times New Roman" w:hAnsi="Times New Roman" w:eastAsiaTheme="minorEastAsia"/>
                <w:color w:val="FF0000"/>
                <w:sz w:val="15"/>
                <w:szCs w:val="15"/>
              </w:rPr>
            </w:pPr>
          </w:p>
        </w:tc>
        <w:tc>
          <w:tcPr>
            <w:tcW w:w="1279" w:type="dxa"/>
            <w:gridSpan w:val="2"/>
            <w:vAlign w:val="center"/>
          </w:tcPr>
          <w:p>
            <w:pPr>
              <w:jc w:val="center"/>
              <w:rPr>
                <w:rFonts w:ascii="Times New Roman" w:hAnsi="Times New Roman" w:eastAsiaTheme="minorEastAsia"/>
                <w:color w:val="FF0000"/>
                <w:sz w:val="15"/>
                <w:szCs w:val="15"/>
              </w:rPr>
            </w:pPr>
          </w:p>
        </w:tc>
        <w:tc>
          <w:tcPr>
            <w:tcW w:w="1133" w:type="dxa"/>
            <w:vAlign w:val="center"/>
          </w:tcPr>
          <w:p>
            <w:pPr>
              <w:jc w:val="center"/>
              <w:textAlignment w:val="center"/>
              <w:rPr>
                <w:rFonts w:ascii="Times New Roman" w:hAnsi="Times New Roman" w:eastAsiaTheme="minorEastAsia"/>
                <w:color w:val="FF0000"/>
                <w:sz w:val="15"/>
                <w:szCs w:val="15"/>
              </w:rPr>
            </w:pPr>
          </w:p>
        </w:tc>
        <w:tc>
          <w:tcPr>
            <w:tcW w:w="813" w:type="dxa"/>
            <w:vAlign w:val="center"/>
          </w:tcPr>
          <w:p>
            <w:pPr>
              <w:jc w:val="center"/>
              <w:rPr>
                <w:rFonts w:ascii="Times New Roman" w:hAnsi="Times New Roman" w:eastAsiaTheme="minorEastAsia"/>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933" w:type="dxa"/>
            <w:gridSpan w:val="2"/>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工业固体废物</w:t>
            </w:r>
          </w:p>
        </w:tc>
        <w:tc>
          <w:tcPr>
            <w:tcW w:w="761" w:type="dxa"/>
            <w:vAlign w:val="center"/>
          </w:tcPr>
          <w:p>
            <w:pPr>
              <w:jc w:val="center"/>
              <w:rPr>
                <w:rFonts w:ascii="Times New Roman" w:hAnsi="Times New Roman" w:eastAsiaTheme="minorEastAsia"/>
                <w:color w:val="FF0000"/>
                <w:sz w:val="15"/>
                <w:szCs w:val="15"/>
              </w:rPr>
            </w:pPr>
          </w:p>
        </w:tc>
        <w:tc>
          <w:tcPr>
            <w:tcW w:w="1418" w:type="dxa"/>
            <w:vAlign w:val="center"/>
          </w:tcPr>
          <w:p>
            <w:pPr>
              <w:jc w:val="center"/>
              <w:rPr>
                <w:rFonts w:ascii="Times New Roman" w:hAnsi="Times New Roman" w:eastAsiaTheme="minorEastAsia"/>
                <w:color w:val="FF0000"/>
                <w:sz w:val="15"/>
                <w:szCs w:val="15"/>
              </w:rPr>
            </w:pPr>
          </w:p>
        </w:tc>
        <w:tc>
          <w:tcPr>
            <w:tcW w:w="1127" w:type="dxa"/>
            <w:vAlign w:val="center"/>
          </w:tcPr>
          <w:p>
            <w:pPr>
              <w:jc w:val="center"/>
              <w:rPr>
                <w:rFonts w:ascii="Times New Roman" w:hAnsi="Times New Roman" w:eastAsiaTheme="minorEastAsia"/>
                <w:color w:val="FF0000"/>
                <w:sz w:val="15"/>
                <w:szCs w:val="15"/>
              </w:rPr>
            </w:pPr>
          </w:p>
        </w:tc>
        <w:tc>
          <w:tcPr>
            <w:tcW w:w="1020" w:type="dxa"/>
            <w:gridSpan w:val="2"/>
            <w:vAlign w:val="center"/>
          </w:tcPr>
          <w:p>
            <w:pPr>
              <w:jc w:val="center"/>
              <w:rPr>
                <w:rFonts w:ascii="Times New Roman" w:hAnsi="Times New Roman" w:eastAsiaTheme="minorEastAsia"/>
                <w:color w:val="FF0000"/>
                <w:sz w:val="15"/>
                <w:szCs w:val="15"/>
              </w:rPr>
            </w:pPr>
          </w:p>
        </w:tc>
        <w:tc>
          <w:tcPr>
            <w:tcW w:w="1128" w:type="dxa"/>
            <w:gridSpan w:val="2"/>
            <w:vAlign w:val="center"/>
          </w:tcPr>
          <w:p>
            <w:pPr>
              <w:jc w:val="center"/>
              <w:rPr>
                <w:rFonts w:ascii="Times New Roman" w:hAnsi="Times New Roman" w:eastAsiaTheme="minorEastAsia"/>
                <w:color w:val="FF0000"/>
                <w:sz w:val="15"/>
                <w:szCs w:val="15"/>
              </w:rPr>
            </w:pPr>
          </w:p>
        </w:tc>
        <w:tc>
          <w:tcPr>
            <w:tcW w:w="1169" w:type="dxa"/>
            <w:vAlign w:val="center"/>
          </w:tcPr>
          <w:p>
            <w:pPr>
              <w:jc w:val="center"/>
              <w:rPr>
                <w:rFonts w:ascii="Times New Roman" w:hAnsi="Times New Roman" w:eastAsiaTheme="minorEastAsia"/>
                <w:color w:val="FF0000"/>
                <w:sz w:val="15"/>
                <w:szCs w:val="15"/>
              </w:rPr>
            </w:pPr>
          </w:p>
        </w:tc>
        <w:tc>
          <w:tcPr>
            <w:tcW w:w="1068" w:type="dxa"/>
            <w:vAlign w:val="center"/>
          </w:tcPr>
          <w:p>
            <w:pPr>
              <w:jc w:val="center"/>
              <w:rPr>
                <w:rFonts w:ascii="Times New Roman" w:hAnsi="Times New Roman" w:eastAsiaTheme="minorEastAsia"/>
                <w:color w:val="FF0000"/>
                <w:sz w:val="15"/>
                <w:szCs w:val="15"/>
              </w:rPr>
            </w:pPr>
          </w:p>
        </w:tc>
        <w:tc>
          <w:tcPr>
            <w:tcW w:w="1838" w:type="dxa"/>
            <w:vAlign w:val="center"/>
          </w:tcPr>
          <w:p>
            <w:pPr>
              <w:jc w:val="center"/>
              <w:rPr>
                <w:rFonts w:ascii="Times New Roman" w:hAnsi="Times New Roman" w:eastAsiaTheme="minorEastAsia"/>
                <w:color w:val="FF0000"/>
                <w:sz w:val="15"/>
                <w:szCs w:val="15"/>
              </w:rPr>
            </w:pPr>
          </w:p>
        </w:tc>
        <w:tc>
          <w:tcPr>
            <w:tcW w:w="1010" w:type="dxa"/>
            <w:vAlign w:val="center"/>
          </w:tcPr>
          <w:p>
            <w:pPr>
              <w:jc w:val="center"/>
              <w:rPr>
                <w:rFonts w:ascii="Times New Roman" w:hAnsi="Times New Roman" w:eastAsiaTheme="minorEastAsia"/>
                <w:color w:val="FF0000"/>
                <w:sz w:val="15"/>
                <w:szCs w:val="15"/>
              </w:rPr>
            </w:pPr>
          </w:p>
        </w:tc>
        <w:tc>
          <w:tcPr>
            <w:tcW w:w="1279" w:type="dxa"/>
            <w:gridSpan w:val="2"/>
            <w:vAlign w:val="center"/>
          </w:tcPr>
          <w:p>
            <w:pPr>
              <w:jc w:val="center"/>
              <w:rPr>
                <w:rFonts w:ascii="Times New Roman" w:hAnsi="Times New Roman" w:eastAsiaTheme="minorEastAsia"/>
                <w:color w:val="FF0000"/>
                <w:sz w:val="15"/>
                <w:szCs w:val="15"/>
              </w:rPr>
            </w:pPr>
          </w:p>
        </w:tc>
        <w:tc>
          <w:tcPr>
            <w:tcW w:w="1133" w:type="dxa"/>
            <w:vAlign w:val="center"/>
          </w:tcPr>
          <w:p>
            <w:pPr>
              <w:jc w:val="center"/>
              <w:rPr>
                <w:rFonts w:ascii="Times New Roman" w:hAnsi="Times New Roman" w:eastAsiaTheme="minorEastAsia"/>
                <w:color w:val="FF0000"/>
                <w:sz w:val="15"/>
                <w:szCs w:val="15"/>
              </w:rPr>
            </w:pPr>
          </w:p>
        </w:tc>
        <w:tc>
          <w:tcPr>
            <w:tcW w:w="813" w:type="dxa"/>
            <w:vAlign w:val="center"/>
          </w:tcPr>
          <w:p>
            <w:pPr>
              <w:jc w:val="center"/>
              <w:rPr>
                <w:rFonts w:ascii="Times New Roman" w:hAnsi="Times New Roman" w:eastAsiaTheme="minorEastAsia"/>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082" w:type="dxa"/>
            <w:vMerge w:val="restart"/>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与项目有关的其他特征污染物</w:t>
            </w:r>
          </w:p>
        </w:tc>
        <w:tc>
          <w:tcPr>
            <w:tcW w:w="851" w:type="dxa"/>
            <w:vAlign w:val="center"/>
          </w:tcPr>
          <w:p>
            <w:pPr>
              <w:jc w:val="center"/>
              <w:rPr>
                <w:rFonts w:ascii="Times New Roman" w:hAnsi="Times New Roman" w:eastAsiaTheme="minorEastAsia"/>
                <w:sz w:val="15"/>
                <w:szCs w:val="15"/>
              </w:rPr>
            </w:pPr>
            <w:r>
              <w:rPr>
                <w:rFonts w:ascii="Times New Roman" w:hAnsi="Times New Roman" w:eastAsiaTheme="minorEastAsia"/>
                <w:sz w:val="15"/>
                <w:szCs w:val="15"/>
              </w:rPr>
              <w:t>非甲烷总烃</w:t>
            </w:r>
          </w:p>
        </w:tc>
        <w:tc>
          <w:tcPr>
            <w:tcW w:w="761" w:type="dxa"/>
            <w:vAlign w:val="center"/>
          </w:tcPr>
          <w:p>
            <w:pPr>
              <w:jc w:val="center"/>
              <w:rPr>
                <w:rFonts w:ascii="Times New Roman" w:hAnsi="Times New Roman" w:eastAsiaTheme="minorEastAsia"/>
                <w:color w:val="FF0000"/>
                <w:sz w:val="15"/>
                <w:szCs w:val="15"/>
              </w:rPr>
            </w:pPr>
          </w:p>
        </w:tc>
        <w:tc>
          <w:tcPr>
            <w:tcW w:w="1418" w:type="dxa"/>
            <w:vAlign w:val="center"/>
          </w:tcPr>
          <w:p>
            <w:pPr>
              <w:jc w:val="center"/>
              <w:rPr>
                <w:rFonts w:ascii="Times New Roman" w:hAnsi="Times New Roman" w:eastAsiaTheme="minorEastAsia"/>
                <w:color w:val="FF0000"/>
                <w:sz w:val="15"/>
                <w:szCs w:val="15"/>
              </w:rPr>
            </w:pPr>
          </w:p>
        </w:tc>
        <w:tc>
          <w:tcPr>
            <w:tcW w:w="1127" w:type="dxa"/>
            <w:vAlign w:val="center"/>
          </w:tcPr>
          <w:p>
            <w:pPr>
              <w:jc w:val="center"/>
              <w:rPr>
                <w:rFonts w:ascii="Times New Roman" w:hAnsi="Times New Roman" w:eastAsiaTheme="minorEastAsia"/>
                <w:color w:val="FF0000"/>
                <w:sz w:val="15"/>
                <w:szCs w:val="15"/>
              </w:rPr>
            </w:pPr>
          </w:p>
        </w:tc>
        <w:tc>
          <w:tcPr>
            <w:tcW w:w="1020" w:type="dxa"/>
            <w:gridSpan w:val="2"/>
            <w:vAlign w:val="center"/>
          </w:tcPr>
          <w:p>
            <w:pPr>
              <w:jc w:val="center"/>
              <w:rPr>
                <w:rFonts w:ascii="Times New Roman" w:hAnsi="Times New Roman" w:eastAsiaTheme="minorEastAsia"/>
                <w:color w:val="FF0000"/>
                <w:sz w:val="15"/>
                <w:szCs w:val="15"/>
              </w:rPr>
            </w:pPr>
          </w:p>
        </w:tc>
        <w:tc>
          <w:tcPr>
            <w:tcW w:w="1128" w:type="dxa"/>
            <w:gridSpan w:val="2"/>
            <w:vAlign w:val="center"/>
          </w:tcPr>
          <w:p>
            <w:pPr>
              <w:jc w:val="center"/>
              <w:rPr>
                <w:rFonts w:ascii="Times New Roman" w:hAnsi="Times New Roman" w:eastAsiaTheme="minorEastAsia"/>
                <w:color w:val="FF0000"/>
                <w:sz w:val="15"/>
                <w:szCs w:val="15"/>
              </w:rPr>
            </w:pPr>
          </w:p>
        </w:tc>
        <w:tc>
          <w:tcPr>
            <w:tcW w:w="1169" w:type="dxa"/>
            <w:vAlign w:val="center"/>
          </w:tcPr>
          <w:p>
            <w:pPr>
              <w:jc w:val="center"/>
              <w:rPr>
                <w:rFonts w:ascii="Times New Roman" w:hAnsi="Times New Roman" w:eastAsiaTheme="minorEastAsia"/>
                <w:color w:val="FF0000"/>
                <w:sz w:val="15"/>
                <w:szCs w:val="15"/>
              </w:rPr>
            </w:pPr>
          </w:p>
        </w:tc>
        <w:tc>
          <w:tcPr>
            <w:tcW w:w="1068" w:type="dxa"/>
            <w:vAlign w:val="center"/>
          </w:tcPr>
          <w:p>
            <w:pPr>
              <w:jc w:val="center"/>
              <w:rPr>
                <w:rFonts w:ascii="Times New Roman" w:hAnsi="Times New Roman" w:eastAsiaTheme="minorEastAsia"/>
                <w:color w:val="FF0000"/>
                <w:sz w:val="15"/>
                <w:szCs w:val="15"/>
              </w:rPr>
            </w:pPr>
          </w:p>
        </w:tc>
        <w:tc>
          <w:tcPr>
            <w:tcW w:w="1838" w:type="dxa"/>
            <w:vAlign w:val="center"/>
          </w:tcPr>
          <w:p>
            <w:pPr>
              <w:jc w:val="center"/>
              <w:rPr>
                <w:rFonts w:ascii="Times New Roman" w:hAnsi="Times New Roman" w:eastAsiaTheme="minorEastAsia"/>
                <w:color w:val="FF0000"/>
                <w:sz w:val="15"/>
                <w:szCs w:val="15"/>
              </w:rPr>
            </w:pPr>
          </w:p>
        </w:tc>
        <w:tc>
          <w:tcPr>
            <w:tcW w:w="1010" w:type="dxa"/>
            <w:vAlign w:val="center"/>
          </w:tcPr>
          <w:p>
            <w:pPr>
              <w:jc w:val="center"/>
              <w:rPr>
                <w:rFonts w:ascii="Times New Roman" w:hAnsi="Times New Roman" w:eastAsiaTheme="minorEastAsia"/>
                <w:color w:val="FF0000"/>
                <w:sz w:val="15"/>
                <w:szCs w:val="15"/>
              </w:rPr>
            </w:pPr>
          </w:p>
        </w:tc>
        <w:tc>
          <w:tcPr>
            <w:tcW w:w="1279" w:type="dxa"/>
            <w:gridSpan w:val="2"/>
            <w:vAlign w:val="center"/>
          </w:tcPr>
          <w:p>
            <w:pPr>
              <w:jc w:val="center"/>
              <w:rPr>
                <w:rFonts w:ascii="Times New Roman" w:hAnsi="Times New Roman" w:eastAsiaTheme="minorEastAsia"/>
                <w:color w:val="FF0000"/>
                <w:sz w:val="15"/>
                <w:szCs w:val="15"/>
              </w:rPr>
            </w:pPr>
          </w:p>
        </w:tc>
        <w:tc>
          <w:tcPr>
            <w:tcW w:w="1133" w:type="dxa"/>
            <w:vAlign w:val="center"/>
          </w:tcPr>
          <w:p>
            <w:pPr>
              <w:jc w:val="center"/>
              <w:rPr>
                <w:rFonts w:ascii="Times New Roman" w:hAnsi="Times New Roman" w:eastAsiaTheme="minorEastAsia"/>
                <w:color w:val="FF0000"/>
                <w:sz w:val="15"/>
                <w:szCs w:val="15"/>
              </w:rPr>
            </w:pPr>
          </w:p>
        </w:tc>
        <w:tc>
          <w:tcPr>
            <w:tcW w:w="813" w:type="dxa"/>
            <w:vAlign w:val="center"/>
          </w:tcPr>
          <w:p>
            <w:pPr>
              <w:jc w:val="center"/>
              <w:rPr>
                <w:rFonts w:ascii="Times New Roman" w:hAnsi="Times New Roman" w:eastAsiaTheme="minorEastAsia"/>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 w:hRule="exact"/>
          <w:jc w:val="center"/>
        </w:trPr>
        <w:tc>
          <w:tcPr>
            <w:tcW w:w="614" w:type="dxa"/>
            <w:gridSpan w:val="2"/>
            <w:vMerge w:val="continue"/>
            <w:vAlign w:val="center"/>
          </w:tcPr>
          <w:p>
            <w:pPr>
              <w:jc w:val="center"/>
              <w:rPr>
                <w:rFonts w:ascii="Times New Roman" w:hAnsi="Times New Roman" w:eastAsiaTheme="minorEastAsia"/>
                <w:color w:val="FF0000"/>
                <w:sz w:val="15"/>
                <w:szCs w:val="15"/>
              </w:rPr>
            </w:pPr>
          </w:p>
        </w:tc>
        <w:tc>
          <w:tcPr>
            <w:tcW w:w="1082" w:type="dxa"/>
            <w:vMerge w:val="continue"/>
            <w:vAlign w:val="center"/>
          </w:tcPr>
          <w:p>
            <w:pPr>
              <w:jc w:val="center"/>
              <w:rPr>
                <w:rFonts w:ascii="Times New Roman" w:hAnsi="Times New Roman" w:eastAsiaTheme="minorEastAsia"/>
                <w:sz w:val="15"/>
                <w:szCs w:val="15"/>
              </w:rPr>
            </w:pPr>
          </w:p>
        </w:tc>
        <w:tc>
          <w:tcPr>
            <w:tcW w:w="851" w:type="dxa"/>
            <w:vAlign w:val="center"/>
          </w:tcPr>
          <w:p>
            <w:pPr>
              <w:jc w:val="center"/>
              <w:rPr>
                <w:rFonts w:ascii="Times New Roman" w:hAnsi="Times New Roman" w:eastAsiaTheme="minorEastAsia"/>
                <w:sz w:val="15"/>
                <w:szCs w:val="15"/>
              </w:rPr>
            </w:pPr>
          </w:p>
        </w:tc>
        <w:tc>
          <w:tcPr>
            <w:tcW w:w="761" w:type="dxa"/>
            <w:vAlign w:val="center"/>
          </w:tcPr>
          <w:p>
            <w:pPr>
              <w:jc w:val="center"/>
              <w:rPr>
                <w:rFonts w:ascii="Times New Roman" w:hAnsi="Times New Roman" w:eastAsiaTheme="minorEastAsia"/>
                <w:color w:val="FF0000"/>
                <w:sz w:val="15"/>
                <w:szCs w:val="15"/>
              </w:rPr>
            </w:pPr>
          </w:p>
        </w:tc>
        <w:tc>
          <w:tcPr>
            <w:tcW w:w="1418" w:type="dxa"/>
            <w:vAlign w:val="center"/>
          </w:tcPr>
          <w:p>
            <w:pPr>
              <w:jc w:val="center"/>
              <w:rPr>
                <w:rFonts w:ascii="Times New Roman" w:hAnsi="Times New Roman" w:eastAsiaTheme="minorEastAsia"/>
                <w:color w:val="FF0000"/>
                <w:sz w:val="15"/>
                <w:szCs w:val="15"/>
              </w:rPr>
            </w:pPr>
          </w:p>
        </w:tc>
        <w:tc>
          <w:tcPr>
            <w:tcW w:w="1127" w:type="dxa"/>
            <w:vAlign w:val="center"/>
          </w:tcPr>
          <w:p>
            <w:pPr>
              <w:jc w:val="center"/>
              <w:rPr>
                <w:rFonts w:ascii="Times New Roman" w:hAnsi="Times New Roman" w:eastAsiaTheme="minorEastAsia"/>
                <w:color w:val="FF0000"/>
                <w:sz w:val="15"/>
                <w:szCs w:val="15"/>
              </w:rPr>
            </w:pPr>
          </w:p>
        </w:tc>
        <w:tc>
          <w:tcPr>
            <w:tcW w:w="1020" w:type="dxa"/>
            <w:gridSpan w:val="2"/>
            <w:vAlign w:val="center"/>
          </w:tcPr>
          <w:p>
            <w:pPr>
              <w:jc w:val="center"/>
              <w:rPr>
                <w:rFonts w:ascii="Times New Roman" w:hAnsi="Times New Roman" w:eastAsiaTheme="minorEastAsia"/>
                <w:color w:val="FF0000"/>
                <w:sz w:val="15"/>
                <w:szCs w:val="15"/>
              </w:rPr>
            </w:pPr>
          </w:p>
        </w:tc>
        <w:tc>
          <w:tcPr>
            <w:tcW w:w="1128" w:type="dxa"/>
            <w:gridSpan w:val="2"/>
            <w:vAlign w:val="center"/>
          </w:tcPr>
          <w:p>
            <w:pPr>
              <w:jc w:val="center"/>
              <w:rPr>
                <w:rFonts w:ascii="Times New Roman" w:hAnsi="Times New Roman" w:eastAsiaTheme="minorEastAsia"/>
                <w:color w:val="FF0000"/>
                <w:sz w:val="15"/>
                <w:szCs w:val="15"/>
              </w:rPr>
            </w:pPr>
          </w:p>
        </w:tc>
        <w:tc>
          <w:tcPr>
            <w:tcW w:w="1169" w:type="dxa"/>
            <w:vAlign w:val="center"/>
          </w:tcPr>
          <w:p>
            <w:pPr>
              <w:jc w:val="center"/>
              <w:rPr>
                <w:rFonts w:ascii="Times New Roman" w:hAnsi="Times New Roman" w:eastAsiaTheme="minorEastAsia"/>
                <w:color w:val="FF0000"/>
                <w:sz w:val="15"/>
                <w:szCs w:val="15"/>
              </w:rPr>
            </w:pPr>
          </w:p>
        </w:tc>
        <w:tc>
          <w:tcPr>
            <w:tcW w:w="1068" w:type="dxa"/>
            <w:vAlign w:val="center"/>
          </w:tcPr>
          <w:p>
            <w:pPr>
              <w:jc w:val="center"/>
              <w:rPr>
                <w:rFonts w:ascii="Times New Roman" w:hAnsi="Times New Roman" w:eastAsiaTheme="minorEastAsia"/>
                <w:color w:val="FF0000"/>
                <w:sz w:val="15"/>
                <w:szCs w:val="15"/>
              </w:rPr>
            </w:pPr>
          </w:p>
        </w:tc>
        <w:tc>
          <w:tcPr>
            <w:tcW w:w="1838" w:type="dxa"/>
            <w:vAlign w:val="center"/>
          </w:tcPr>
          <w:p>
            <w:pPr>
              <w:jc w:val="center"/>
              <w:rPr>
                <w:rFonts w:ascii="Times New Roman" w:hAnsi="Times New Roman" w:eastAsiaTheme="minorEastAsia"/>
                <w:color w:val="FF0000"/>
                <w:sz w:val="15"/>
                <w:szCs w:val="15"/>
              </w:rPr>
            </w:pPr>
          </w:p>
        </w:tc>
        <w:tc>
          <w:tcPr>
            <w:tcW w:w="1010" w:type="dxa"/>
            <w:vAlign w:val="center"/>
          </w:tcPr>
          <w:p>
            <w:pPr>
              <w:jc w:val="center"/>
              <w:rPr>
                <w:rFonts w:ascii="Times New Roman" w:hAnsi="Times New Roman" w:eastAsiaTheme="minorEastAsia"/>
                <w:color w:val="FF0000"/>
                <w:sz w:val="15"/>
                <w:szCs w:val="15"/>
              </w:rPr>
            </w:pPr>
          </w:p>
        </w:tc>
        <w:tc>
          <w:tcPr>
            <w:tcW w:w="1279" w:type="dxa"/>
            <w:gridSpan w:val="2"/>
            <w:vAlign w:val="center"/>
          </w:tcPr>
          <w:p>
            <w:pPr>
              <w:jc w:val="center"/>
              <w:rPr>
                <w:rFonts w:ascii="Times New Roman" w:hAnsi="Times New Roman" w:eastAsiaTheme="minorEastAsia"/>
                <w:color w:val="FF0000"/>
                <w:sz w:val="15"/>
                <w:szCs w:val="15"/>
              </w:rPr>
            </w:pPr>
          </w:p>
        </w:tc>
        <w:tc>
          <w:tcPr>
            <w:tcW w:w="1133" w:type="dxa"/>
            <w:vAlign w:val="center"/>
          </w:tcPr>
          <w:p>
            <w:pPr>
              <w:jc w:val="center"/>
              <w:rPr>
                <w:rFonts w:ascii="Times New Roman" w:hAnsi="Times New Roman" w:eastAsiaTheme="minorEastAsia"/>
                <w:color w:val="FF0000"/>
                <w:sz w:val="15"/>
                <w:szCs w:val="15"/>
              </w:rPr>
            </w:pPr>
          </w:p>
        </w:tc>
        <w:tc>
          <w:tcPr>
            <w:tcW w:w="813" w:type="dxa"/>
            <w:vAlign w:val="center"/>
          </w:tcPr>
          <w:p>
            <w:pPr>
              <w:jc w:val="center"/>
              <w:rPr>
                <w:rFonts w:ascii="Times New Roman" w:hAnsi="Times New Roman" w:eastAsiaTheme="minorEastAsia"/>
                <w:color w:val="FF0000"/>
                <w:sz w:val="15"/>
                <w:szCs w:val="15"/>
              </w:rPr>
            </w:pPr>
          </w:p>
        </w:tc>
      </w:tr>
    </w:tbl>
    <w:p>
      <w:pPr>
        <w:rPr>
          <w:rFonts w:ascii="Times New Roman" w:hAnsi="Times New Roman" w:eastAsiaTheme="minorEastAsia"/>
          <w:sz w:val="13"/>
          <w:szCs w:val="13"/>
        </w:rPr>
      </w:pPr>
      <w:r>
        <w:rPr>
          <w:rFonts w:ascii="Times New Roman" w:hAnsi="Times New Roman" w:eastAsiaTheme="minorEastAsia"/>
          <w:sz w:val="13"/>
          <w:szCs w:val="13"/>
        </w:rPr>
        <w:t>注：1、</w:t>
      </w:r>
      <w:r>
        <w:rPr>
          <w:rFonts w:ascii="Times New Roman" w:hAnsi="Times New Roman" w:eastAsiaTheme="minorEastAsia"/>
          <w:spacing w:val="-4"/>
          <w:sz w:val="13"/>
          <w:szCs w:val="13"/>
        </w:rPr>
        <w:t>排放增减量：（+）表示增加，（-）表示减少。2、(12)=(6)-(8)-(11)，（9）=(4)-(5)-(8)-(11)+（1）。3、计量单位：废水排放量——万吨/年；废气排放量——万标立方米/年；工业固体废物排放</w:t>
      </w:r>
      <w:r>
        <w:rPr>
          <w:rFonts w:ascii="Times New Roman" w:hAnsi="Times New Roman" w:eastAsiaTheme="minorEastAsia"/>
          <w:sz w:val="13"/>
          <w:szCs w:val="13"/>
        </w:rPr>
        <w:t>量——万吨/年；水污排放浓度——毫克/升</w:t>
      </w:r>
    </w:p>
    <w:p>
      <w:pPr>
        <w:spacing w:line="500" w:lineRule="exact"/>
        <w:rPr>
          <w:rFonts w:ascii="Times New Roman" w:hAnsi="Times New Roman" w:eastAsiaTheme="minorEastAsia"/>
          <w:bCs/>
          <w:color w:val="FF0000"/>
          <w:sz w:val="22"/>
          <w:szCs w:val="22"/>
        </w:rPr>
        <w:sectPr>
          <w:pgSz w:w="16840" w:h="11907" w:orient="landscape"/>
          <w:pgMar w:top="1531" w:right="1304" w:bottom="1531" w:left="1304" w:header="284" w:footer="851" w:gutter="0"/>
          <w:cols w:space="720" w:num="1"/>
          <w:docGrid w:linePitch="286" w:charSpace="0"/>
        </w:sectPr>
      </w:pPr>
    </w:p>
    <w:bookmarkEnd w:id="86"/>
    <w:bookmarkEnd w:id="87"/>
    <w:bookmarkEnd w:id="88"/>
    <w:bookmarkEnd w:id="89"/>
    <w:bookmarkEnd w:id="90"/>
    <w:bookmarkEnd w:id="91"/>
    <w:p>
      <w:pPr>
        <w:pStyle w:val="2"/>
        <w:outlineLvl w:val="0"/>
        <w:rPr>
          <w:rFonts w:ascii="Times New Roman" w:hAnsi="Times New Roman" w:eastAsiaTheme="minorEastAsia"/>
          <w:b/>
          <w:bCs/>
          <w:color w:val="auto"/>
        </w:rPr>
      </w:pPr>
      <w:bookmarkStart w:id="93" w:name="_Toc5542"/>
      <w:bookmarkStart w:id="94" w:name="_Toc32112"/>
      <w:bookmarkStart w:id="95" w:name="_Toc18269"/>
      <w:r>
        <w:rPr>
          <w:rFonts w:ascii="Times New Roman" w:hAnsi="Times New Roman" w:eastAsiaTheme="minorEastAsia"/>
          <w:b/>
          <w:bCs/>
          <w:color w:val="auto"/>
        </w:rPr>
        <w:t>附图1本项目地理位置图</w:t>
      </w:r>
      <w:bookmarkEnd w:id="93"/>
      <w:bookmarkEnd w:id="94"/>
      <w:bookmarkEnd w:id="95"/>
    </w:p>
    <w:p>
      <w:pPr>
        <w:rPr>
          <w:rFonts w:ascii="Times New Roman" w:hAnsi="Times New Roman" w:eastAsiaTheme="minorEastAsia"/>
          <w:color w:val="FF0000"/>
        </w:rPr>
      </w:pPr>
      <w:r>
        <w:rPr>
          <w:rFonts w:ascii="Times New Roman" w:hAnsi="Times New Roman"/>
        </w:rPr>
        <w:drawing>
          <wp:inline distT="0" distB="0" distL="0" distR="0">
            <wp:extent cx="8504555" cy="4628515"/>
            <wp:effectExtent l="0" t="0" r="0" b="63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2"/>
                    <a:stretch>
                      <a:fillRect/>
                    </a:stretch>
                  </pic:blipFill>
                  <pic:spPr>
                    <a:xfrm>
                      <a:off x="0" y="0"/>
                      <a:ext cx="8504762" cy="4628571"/>
                    </a:xfrm>
                    <a:prstGeom prst="rect">
                      <a:avLst/>
                    </a:prstGeom>
                  </pic:spPr>
                </pic:pic>
              </a:graphicData>
            </a:graphic>
          </wp:inline>
        </w:drawing>
      </w:r>
    </w:p>
    <w:p>
      <w:pPr>
        <w:pStyle w:val="2"/>
        <w:spacing w:line="360" w:lineRule="auto"/>
        <w:ind w:firstLine="482" w:firstLineChars="200"/>
        <w:jc w:val="both"/>
        <w:rPr>
          <w:rFonts w:ascii="Times New Roman" w:hAnsi="Times New Roman" w:eastAsiaTheme="minorEastAsia"/>
          <w:b/>
          <w:bCs/>
          <w:color w:val="FF0000"/>
        </w:rPr>
      </w:pPr>
      <w:bookmarkStart w:id="96" w:name="_Toc21977"/>
    </w:p>
    <w:bookmarkEnd w:id="96"/>
    <w:p>
      <w:pPr>
        <w:jc w:val="center"/>
        <w:rPr>
          <w:rFonts w:ascii="Times New Roman" w:hAnsi="Times New Roman" w:eastAsiaTheme="minorEastAsia"/>
          <w:color w:val="FF0000"/>
        </w:rPr>
        <w:sectPr>
          <w:pgSz w:w="16838" w:h="11906" w:orient="landscape"/>
          <w:pgMar w:top="1800" w:right="1440" w:bottom="1800" w:left="1440" w:header="851" w:footer="992" w:gutter="0"/>
          <w:cols w:space="720" w:num="1"/>
          <w:docGrid w:type="lines" w:linePitch="312" w:charSpace="0"/>
        </w:sectPr>
      </w:pPr>
    </w:p>
    <w:p>
      <w:pPr>
        <w:pStyle w:val="2"/>
        <w:outlineLvl w:val="0"/>
        <w:rPr>
          <w:rFonts w:ascii="Times New Roman" w:hAnsi="Times New Roman" w:eastAsiaTheme="minorEastAsia"/>
          <w:b/>
          <w:bCs/>
          <w:color w:val="auto"/>
        </w:rPr>
      </w:pPr>
      <w:bookmarkStart w:id="97" w:name="_Toc14558"/>
      <w:bookmarkStart w:id="98" w:name="_Toc16924"/>
      <w:r>
        <w:rPr>
          <w:rFonts w:ascii="Times New Roman" w:hAnsi="Times New Roman" w:eastAsiaTheme="minorEastAsia"/>
          <w:b/>
          <w:bCs/>
          <w:color w:val="auto"/>
        </w:rPr>
        <w:t>附图2本项目平面图</w:t>
      </w:r>
      <w:bookmarkEnd w:id="97"/>
      <w:bookmarkEnd w:id="98"/>
    </w:p>
    <w:p>
      <w:pPr>
        <w:adjustRightInd w:val="0"/>
        <w:snapToGrid w:val="0"/>
        <w:spacing w:line="360" w:lineRule="auto"/>
        <w:rPr>
          <w:rFonts w:ascii="Times New Roman" w:hAnsi="Times New Roman" w:eastAsiaTheme="minorEastAsia"/>
          <w:b/>
          <w:bCs/>
          <w:color w:val="FF0000"/>
        </w:rPr>
      </w:pPr>
      <w:r>
        <w:rPr>
          <w:rFonts w:ascii="Times New Roman" w:hAnsi="Times New Roman"/>
        </w:rPr>
        <w:drawing>
          <wp:inline distT="0" distB="0" distL="0" distR="0">
            <wp:extent cx="5212080" cy="7498080"/>
            <wp:effectExtent l="0" t="0" r="7620" b="762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12080" cy="7498080"/>
                    </a:xfrm>
                    <a:prstGeom prst="rect">
                      <a:avLst/>
                    </a:prstGeom>
                    <a:noFill/>
                    <a:ln>
                      <a:noFill/>
                    </a:ln>
                    <a:effectLst/>
                  </pic:spPr>
                </pic:pic>
              </a:graphicData>
            </a:graphic>
          </wp:inline>
        </w:drawing>
      </w:r>
    </w:p>
    <w:p>
      <w:pPr>
        <w:adjustRightInd w:val="0"/>
        <w:snapToGrid w:val="0"/>
        <w:spacing w:line="360" w:lineRule="auto"/>
        <w:rPr>
          <w:rFonts w:ascii="Times New Roman" w:hAnsi="Times New Roman" w:eastAsiaTheme="minorEastAsia"/>
          <w:snapToGrid w:val="0"/>
          <w:color w:val="FF0000"/>
          <w:kern w:val="0"/>
        </w:rPr>
        <w:sectPr>
          <w:footerReference r:id="rId6" w:type="default"/>
          <w:pgSz w:w="11906" w:h="16838"/>
          <w:pgMar w:top="1440" w:right="1800" w:bottom="1440" w:left="1800" w:header="851" w:footer="992" w:gutter="0"/>
          <w:cols w:space="720" w:num="1"/>
          <w:docGrid w:type="lines" w:linePitch="312" w:charSpace="0"/>
        </w:sectPr>
      </w:pPr>
    </w:p>
    <w:p>
      <w:pPr>
        <w:pStyle w:val="2"/>
        <w:outlineLvl w:val="0"/>
        <w:rPr>
          <w:rFonts w:ascii="Times New Roman" w:hAnsi="Times New Roman" w:eastAsiaTheme="minorEastAsia"/>
          <w:b/>
          <w:bCs/>
          <w:color w:val="auto"/>
        </w:rPr>
      </w:pPr>
      <w:r>
        <w:rPr>
          <w:rFonts w:ascii="Times New Roman" w:hAnsi="Times New Roman" w:eastAsiaTheme="minorEastAsia"/>
          <w:b/>
          <w:bCs/>
          <w:color w:val="auto"/>
        </w:rPr>
        <w:t>附件1本项目环评批复</w:t>
      </w:r>
    </w:p>
    <w:p>
      <w:pPr>
        <w:jc w:val="center"/>
        <w:rPr>
          <w:rFonts w:ascii="Times New Roman" w:hAnsi="Times New Roman" w:eastAsiaTheme="minorEastAsia"/>
          <w:color w:val="FF0000"/>
        </w:rPr>
      </w:pPr>
      <w:r>
        <w:rPr>
          <w:rFonts w:ascii="Times New Roman" w:hAnsi="Times New Roman"/>
        </w:rPr>
        <w:drawing>
          <wp:inline distT="0" distB="0" distL="0" distR="0">
            <wp:extent cx="5274310" cy="66846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6684645"/>
                    </a:xfrm>
                    <a:prstGeom prst="rect">
                      <a:avLst/>
                    </a:prstGeom>
                  </pic:spPr>
                </pic:pic>
              </a:graphicData>
            </a:graphic>
          </wp:inline>
        </w:drawing>
      </w:r>
    </w:p>
    <w:p>
      <w:pPr>
        <w:pStyle w:val="2"/>
        <w:spacing w:line="360" w:lineRule="auto"/>
        <w:rPr>
          <w:rFonts w:ascii="Times New Roman" w:hAnsi="Times New Roman" w:eastAsiaTheme="minorEastAsia"/>
          <w:b/>
          <w:bCs/>
          <w:color w:val="FF0000"/>
        </w:rPr>
      </w:pPr>
      <w:r>
        <w:rPr>
          <w:rFonts w:ascii="Times New Roman" w:hAnsi="Times New Roman"/>
        </w:rPr>
        <w:drawing>
          <wp:inline distT="0" distB="0" distL="0" distR="0">
            <wp:extent cx="5274310" cy="68821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6882130"/>
                    </a:xfrm>
                    <a:prstGeom prst="rect">
                      <a:avLst/>
                    </a:prstGeom>
                  </pic:spPr>
                </pic:pic>
              </a:graphicData>
            </a:graphic>
          </wp:inline>
        </w:drawing>
      </w:r>
    </w:p>
    <w:p>
      <w:pPr>
        <w:rPr>
          <w:rFonts w:ascii="Times New Roman" w:hAnsi="Times New Roman" w:eastAsiaTheme="minorEastAsia"/>
          <w:color w:val="FF0000"/>
        </w:rPr>
      </w:pPr>
      <w:r>
        <w:rPr>
          <w:rFonts w:ascii="Times New Roman" w:hAnsi="Times New Roman"/>
        </w:rPr>
        <w:drawing>
          <wp:inline distT="0" distB="0" distL="0" distR="0">
            <wp:extent cx="5274310" cy="72542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7254240"/>
                    </a:xfrm>
                    <a:prstGeom prst="rect">
                      <a:avLst/>
                    </a:prstGeom>
                  </pic:spPr>
                </pic:pic>
              </a:graphicData>
            </a:graphic>
          </wp:inline>
        </w:drawing>
      </w:r>
    </w:p>
    <w:p>
      <w:pPr>
        <w:pStyle w:val="2"/>
        <w:rPr>
          <w:rFonts w:ascii="Times New Roman" w:hAnsi="Times New Roman" w:eastAsiaTheme="minorEastAsia"/>
          <w:color w:val="FF0000"/>
        </w:rPr>
      </w:pPr>
      <w:r>
        <w:rPr>
          <w:rFonts w:ascii="Times New Roman" w:hAnsi="Times New Roman"/>
        </w:rPr>
        <w:drawing>
          <wp:inline distT="0" distB="0" distL="0" distR="0">
            <wp:extent cx="5274310" cy="749173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7491730"/>
                    </a:xfrm>
                    <a:prstGeom prst="rect">
                      <a:avLst/>
                    </a:prstGeom>
                  </pic:spPr>
                </pic:pic>
              </a:graphicData>
            </a:graphic>
          </wp:inline>
        </w:drawing>
      </w:r>
    </w:p>
    <w:p>
      <w:pPr>
        <w:rPr>
          <w:rFonts w:ascii="Times New Roman" w:hAnsi="Times New Roman" w:eastAsiaTheme="minorEastAsia"/>
          <w:color w:val="FF0000"/>
        </w:rPr>
      </w:pPr>
    </w:p>
    <w:p>
      <w:pPr>
        <w:pStyle w:val="2"/>
        <w:rPr>
          <w:rFonts w:ascii="Times New Roman" w:hAnsi="Times New Roman" w:eastAsiaTheme="minorEastAsia"/>
          <w:color w:val="FF0000"/>
        </w:rPr>
      </w:pPr>
    </w:p>
    <w:p>
      <w:pPr>
        <w:rPr>
          <w:rFonts w:ascii="Times New Roman" w:hAnsi="Times New Roman" w:eastAsiaTheme="minorEastAsia"/>
          <w:color w:val="FF0000"/>
        </w:rPr>
      </w:pPr>
    </w:p>
    <w:p>
      <w:pPr>
        <w:pStyle w:val="2"/>
        <w:rPr>
          <w:rFonts w:ascii="Times New Roman" w:hAnsi="Times New Roman" w:eastAsiaTheme="minorEastAsia"/>
          <w:color w:val="FF0000"/>
        </w:rPr>
      </w:pPr>
    </w:p>
    <w:p>
      <w:pPr>
        <w:pStyle w:val="2"/>
        <w:outlineLvl w:val="0"/>
        <w:rPr>
          <w:rFonts w:ascii="Times New Roman" w:hAnsi="Times New Roman" w:eastAsiaTheme="minorEastAsia"/>
          <w:color w:val="FF0000"/>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font>
  <w:font w:name="ˎ̥">
    <w:altName w:val="Times New Roman"/>
    <w:panose1 w:val="00000000000000000000"/>
    <w:charset w:val="01"/>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6"/>
        <w:tab w:val="right" w:pos="8432"/>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6"/>
        <w:tab w:val="right" w:pos="8432"/>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QXlk8MBAACP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k5BoQbg8JC5d+MuoINRXDORVG007lRXh8L1kP/9H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BBeWTwwEAAI8DAAAOAAAAAAAAAAEAIAAAAB4BAABkcnMvZTJvRG9jLnhtbFBL&#10;BQYAAAAABgAGAFkBAABTBQAAAAA=&#10;">
              <v:fill on="f" focussize="0,0"/>
              <v:stroke on="f"/>
              <v:imagedata o:title=""/>
              <o:lock v:ext="edit" aspectratio="f"/>
              <v:textbox inset="0mm,0mm,0mm,0mm" style="mso-fit-shape-to-text:t;">
                <w:txbxContent>
                  <w:p>
                    <w:pPr>
                      <w:pStyle w:val="14"/>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6HyKsIBAACP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xcA8K7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h8irCAQAAjwMAAA4AAAAAAAAAAQAgAAAAHgEAAGRycy9lMm9Eb2MueG1sUEsF&#10;BgAAAAAGAAYAWQEAAFIFAAAAAA==&#10;">
              <v:fill on="f" focussize="0,0"/>
              <v:stroke on="f"/>
              <v:imagedata o:title=""/>
              <o:lock v:ext="edit" aspectratio="f"/>
              <v:textbox inset="0mm,0mm,0mm,0mm" style="mso-fit-shape-to-text:t;">
                <w:txbxContent>
                  <w:p>
                    <w:pPr>
                      <w:pStyle w:val="14"/>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FXv/MMBAACP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k5BoQbg8JC5d+MuoINRXDORVG007lRXh8L1kP/9H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oVe/8wwEAAI8DAAAOAAAAAAAAAAEAIAAAAB4BAABkcnMvZTJvRG9jLnhtbFBL&#10;BQYAAAAABgAGAFkBAABTBQAAAAA=&#10;">
              <v:fill on="f" focussize="0,0"/>
              <v:stroke on="f"/>
              <v:imagedata o:title=""/>
              <o:lock v:ext="edit" aspectratio="f"/>
              <v:textbox inset="0mm,0mm,0mm,0mm" style="mso-fit-shape-to-text:t;">
                <w:txbxContent>
                  <w:p>
                    <w:pPr>
                      <w:pStyle w:val="14"/>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92C741"/>
    <w:multiLevelType w:val="singleLevel"/>
    <w:tmpl w:val="2592C741"/>
    <w:lvl w:ilvl="0" w:tentative="0">
      <w:start w:val="1"/>
      <w:numFmt w:val="chineseCounting"/>
      <w:suff w:val="nothing"/>
      <w:lvlText w:val="%1、"/>
      <w:lvlJc w:val="left"/>
      <w:rPr>
        <w:rFonts w:hint="eastAsia"/>
      </w:rPr>
    </w:lvl>
  </w:abstractNum>
  <w:abstractNum w:abstractNumId="1">
    <w:nsid w:val="6A9B34D4"/>
    <w:multiLevelType w:val="singleLevel"/>
    <w:tmpl w:val="6A9B34D4"/>
    <w:lvl w:ilvl="0" w:tentative="0">
      <w:start w:val="6"/>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1ZGEwMWY5ZjJhOWVhYjEzY2I1NGRhYThlYmZiMjIifQ=="/>
  </w:docVars>
  <w:rsids>
    <w:rsidRoot w:val="004F6473"/>
    <w:rsid w:val="000010F2"/>
    <w:rsid w:val="00006559"/>
    <w:rsid w:val="0000751A"/>
    <w:rsid w:val="00020F4C"/>
    <w:rsid w:val="0003154D"/>
    <w:rsid w:val="000514C5"/>
    <w:rsid w:val="000701D1"/>
    <w:rsid w:val="0009678E"/>
    <w:rsid w:val="000A3105"/>
    <w:rsid w:val="000A6FC3"/>
    <w:rsid w:val="000C6CCF"/>
    <w:rsid w:val="000D082D"/>
    <w:rsid w:val="000D5E3A"/>
    <w:rsid w:val="000E01BD"/>
    <w:rsid w:val="00101961"/>
    <w:rsid w:val="001060AA"/>
    <w:rsid w:val="00123C36"/>
    <w:rsid w:val="00135622"/>
    <w:rsid w:val="001442A8"/>
    <w:rsid w:val="0014641A"/>
    <w:rsid w:val="00162823"/>
    <w:rsid w:val="00172A22"/>
    <w:rsid w:val="0017450A"/>
    <w:rsid w:val="001754B7"/>
    <w:rsid w:val="001803D2"/>
    <w:rsid w:val="0018533E"/>
    <w:rsid w:val="001A12F7"/>
    <w:rsid w:val="001C2970"/>
    <w:rsid w:val="001C5468"/>
    <w:rsid w:val="001C5F5E"/>
    <w:rsid w:val="001C7A69"/>
    <w:rsid w:val="001D2A01"/>
    <w:rsid w:val="001E3F53"/>
    <w:rsid w:val="001E76BA"/>
    <w:rsid w:val="00202480"/>
    <w:rsid w:val="00204AFB"/>
    <w:rsid w:val="00206AEF"/>
    <w:rsid w:val="00210FA6"/>
    <w:rsid w:val="002116C8"/>
    <w:rsid w:val="00212203"/>
    <w:rsid w:val="00214987"/>
    <w:rsid w:val="00220FA6"/>
    <w:rsid w:val="00222DEF"/>
    <w:rsid w:val="002300BD"/>
    <w:rsid w:val="00234673"/>
    <w:rsid w:val="00253260"/>
    <w:rsid w:val="002561D6"/>
    <w:rsid w:val="00256F35"/>
    <w:rsid w:val="0026072E"/>
    <w:rsid w:val="00260AC6"/>
    <w:rsid w:val="00287060"/>
    <w:rsid w:val="002B5D80"/>
    <w:rsid w:val="002B6BF3"/>
    <w:rsid w:val="002B7B61"/>
    <w:rsid w:val="002C02C2"/>
    <w:rsid w:val="002E62A1"/>
    <w:rsid w:val="002F2809"/>
    <w:rsid w:val="002F378F"/>
    <w:rsid w:val="002F37AA"/>
    <w:rsid w:val="00313D32"/>
    <w:rsid w:val="00315310"/>
    <w:rsid w:val="0032675D"/>
    <w:rsid w:val="00333AE5"/>
    <w:rsid w:val="00342837"/>
    <w:rsid w:val="00346A32"/>
    <w:rsid w:val="00354A5D"/>
    <w:rsid w:val="0036709C"/>
    <w:rsid w:val="003738DB"/>
    <w:rsid w:val="00383478"/>
    <w:rsid w:val="003B7382"/>
    <w:rsid w:val="003C3B91"/>
    <w:rsid w:val="003C4F71"/>
    <w:rsid w:val="003C76A0"/>
    <w:rsid w:val="003D19B4"/>
    <w:rsid w:val="003D4925"/>
    <w:rsid w:val="003D4B5E"/>
    <w:rsid w:val="003E001A"/>
    <w:rsid w:val="003E1555"/>
    <w:rsid w:val="003F0AAD"/>
    <w:rsid w:val="003F229E"/>
    <w:rsid w:val="003F6A7E"/>
    <w:rsid w:val="00402B2E"/>
    <w:rsid w:val="004069F5"/>
    <w:rsid w:val="00407C84"/>
    <w:rsid w:val="00421638"/>
    <w:rsid w:val="004229A5"/>
    <w:rsid w:val="0044174B"/>
    <w:rsid w:val="00452D53"/>
    <w:rsid w:val="0045409B"/>
    <w:rsid w:val="004576F2"/>
    <w:rsid w:val="00474C56"/>
    <w:rsid w:val="00476475"/>
    <w:rsid w:val="004A2C04"/>
    <w:rsid w:val="004C546B"/>
    <w:rsid w:val="004C6401"/>
    <w:rsid w:val="004C79E4"/>
    <w:rsid w:val="004E2181"/>
    <w:rsid w:val="004E3A02"/>
    <w:rsid w:val="004F43EF"/>
    <w:rsid w:val="004F6473"/>
    <w:rsid w:val="0050418E"/>
    <w:rsid w:val="00504509"/>
    <w:rsid w:val="00522386"/>
    <w:rsid w:val="00531D52"/>
    <w:rsid w:val="00537449"/>
    <w:rsid w:val="00555425"/>
    <w:rsid w:val="00563952"/>
    <w:rsid w:val="0056661A"/>
    <w:rsid w:val="00571499"/>
    <w:rsid w:val="00574E9F"/>
    <w:rsid w:val="005A5164"/>
    <w:rsid w:val="005A6A03"/>
    <w:rsid w:val="005B1BC5"/>
    <w:rsid w:val="005B5CC8"/>
    <w:rsid w:val="005C7CFC"/>
    <w:rsid w:val="005D2703"/>
    <w:rsid w:val="005F6D6B"/>
    <w:rsid w:val="0060679A"/>
    <w:rsid w:val="006130AE"/>
    <w:rsid w:val="00616FF3"/>
    <w:rsid w:val="0062328B"/>
    <w:rsid w:val="00630C18"/>
    <w:rsid w:val="00631E4A"/>
    <w:rsid w:val="006375EC"/>
    <w:rsid w:val="0063783F"/>
    <w:rsid w:val="00644058"/>
    <w:rsid w:val="00646307"/>
    <w:rsid w:val="00653AD1"/>
    <w:rsid w:val="006602AA"/>
    <w:rsid w:val="006627D0"/>
    <w:rsid w:val="00674AF1"/>
    <w:rsid w:val="006803B8"/>
    <w:rsid w:val="006845A0"/>
    <w:rsid w:val="00687F6E"/>
    <w:rsid w:val="006921FD"/>
    <w:rsid w:val="00693A70"/>
    <w:rsid w:val="00694B56"/>
    <w:rsid w:val="006979EF"/>
    <w:rsid w:val="006A2EAC"/>
    <w:rsid w:val="006A3A77"/>
    <w:rsid w:val="006A7E3E"/>
    <w:rsid w:val="006C3FB0"/>
    <w:rsid w:val="006D13F0"/>
    <w:rsid w:val="006D7B08"/>
    <w:rsid w:val="006D7BD8"/>
    <w:rsid w:val="006E7104"/>
    <w:rsid w:val="006F0BDF"/>
    <w:rsid w:val="006F3274"/>
    <w:rsid w:val="00700CA9"/>
    <w:rsid w:val="00704F06"/>
    <w:rsid w:val="00713859"/>
    <w:rsid w:val="00713FE9"/>
    <w:rsid w:val="00726098"/>
    <w:rsid w:val="00730727"/>
    <w:rsid w:val="00775724"/>
    <w:rsid w:val="00776247"/>
    <w:rsid w:val="00776863"/>
    <w:rsid w:val="00780B2B"/>
    <w:rsid w:val="00795516"/>
    <w:rsid w:val="007973A3"/>
    <w:rsid w:val="007A6315"/>
    <w:rsid w:val="007A789F"/>
    <w:rsid w:val="007A7998"/>
    <w:rsid w:val="007A7C35"/>
    <w:rsid w:val="007B71EF"/>
    <w:rsid w:val="007C5229"/>
    <w:rsid w:val="007D1E5A"/>
    <w:rsid w:val="007D5498"/>
    <w:rsid w:val="007E43DA"/>
    <w:rsid w:val="007F6F7A"/>
    <w:rsid w:val="00804DFB"/>
    <w:rsid w:val="00804E22"/>
    <w:rsid w:val="0082055D"/>
    <w:rsid w:val="008510C0"/>
    <w:rsid w:val="008574C3"/>
    <w:rsid w:val="00860BB8"/>
    <w:rsid w:val="00860D32"/>
    <w:rsid w:val="00861C8D"/>
    <w:rsid w:val="00861F6F"/>
    <w:rsid w:val="00863A7F"/>
    <w:rsid w:val="008662B1"/>
    <w:rsid w:val="008762A8"/>
    <w:rsid w:val="00881D00"/>
    <w:rsid w:val="008827D0"/>
    <w:rsid w:val="00884476"/>
    <w:rsid w:val="00886839"/>
    <w:rsid w:val="00887CFA"/>
    <w:rsid w:val="00890D8B"/>
    <w:rsid w:val="00894487"/>
    <w:rsid w:val="00896CEC"/>
    <w:rsid w:val="00897389"/>
    <w:rsid w:val="00897932"/>
    <w:rsid w:val="008B088B"/>
    <w:rsid w:val="008D47BE"/>
    <w:rsid w:val="008F42DA"/>
    <w:rsid w:val="009134F1"/>
    <w:rsid w:val="009140DB"/>
    <w:rsid w:val="0093570E"/>
    <w:rsid w:val="009432CA"/>
    <w:rsid w:val="009467BD"/>
    <w:rsid w:val="00954CE0"/>
    <w:rsid w:val="00962A55"/>
    <w:rsid w:val="00967E49"/>
    <w:rsid w:val="009740BF"/>
    <w:rsid w:val="00984BE7"/>
    <w:rsid w:val="009A2E39"/>
    <w:rsid w:val="009A669E"/>
    <w:rsid w:val="009A71DD"/>
    <w:rsid w:val="009B7CD3"/>
    <w:rsid w:val="009E62AD"/>
    <w:rsid w:val="00A132A4"/>
    <w:rsid w:val="00A2393E"/>
    <w:rsid w:val="00A37E72"/>
    <w:rsid w:val="00A56AF7"/>
    <w:rsid w:val="00A576B4"/>
    <w:rsid w:val="00A72E98"/>
    <w:rsid w:val="00A83B0B"/>
    <w:rsid w:val="00A87265"/>
    <w:rsid w:val="00A872C0"/>
    <w:rsid w:val="00A87AC8"/>
    <w:rsid w:val="00AA1083"/>
    <w:rsid w:val="00AA7D70"/>
    <w:rsid w:val="00AD282E"/>
    <w:rsid w:val="00AD47E5"/>
    <w:rsid w:val="00AE1EAA"/>
    <w:rsid w:val="00AE287D"/>
    <w:rsid w:val="00AF1C06"/>
    <w:rsid w:val="00AF2A89"/>
    <w:rsid w:val="00B02B60"/>
    <w:rsid w:val="00B1150A"/>
    <w:rsid w:val="00B1549A"/>
    <w:rsid w:val="00B26249"/>
    <w:rsid w:val="00B32002"/>
    <w:rsid w:val="00B3301C"/>
    <w:rsid w:val="00B377BD"/>
    <w:rsid w:val="00B474CF"/>
    <w:rsid w:val="00B5192F"/>
    <w:rsid w:val="00B721E0"/>
    <w:rsid w:val="00B77958"/>
    <w:rsid w:val="00B83115"/>
    <w:rsid w:val="00B94E37"/>
    <w:rsid w:val="00B9540A"/>
    <w:rsid w:val="00BA2340"/>
    <w:rsid w:val="00BA2C8B"/>
    <w:rsid w:val="00BA7CEE"/>
    <w:rsid w:val="00BB1FCE"/>
    <w:rsid w:val="00BB3BA3"/>
    <w:rsid w:val="00BB5E3F"/>
    <w:rsid w:val="00BD1652"/>
    <w:rsid w:val="00BE343A"/>
    <w:rsid w:val="00BF4CA8"/>
    <w:rsid w:val="00C150B5"/>
    <w:rsid w:val="00C178ED"/>
    <w:rsid w:val="00C31EC9"/>
    <w:rsid w:val="00C3449C"/>
    <w:rsid w:val="00C36861"/>
    <w:rsid w:val="00C42BA2"/>
    <w:rsid w:val="00C44BD7"/>
    <w:rsid w:val="00C4565A"/>
    <w:rsid w:val="00C501FC"/>
    <w:rsid w:val="00C519C8"/>
    <w:rsid w:val="00C56812"/>
    <w:rsid w:val="00C66E33"/>
    <w:rsid w:val="00C710D2"/>
    <w:rsid w:val="00C74FAC"/>
    <w:rsid w:val="00C906D8"/>
    <w:rsid w:val="00CA0C00"/>
    <w:rsid w:val="00CA1A42"/>
    <w:rsid w:val="00CA7863"/>
    <w:rsid w:val="00CA7CB9"/>
    <w:rsid w:val="00CA7FB1"/>
    <w:rsid w:val="00CB0C30"/>
    <w:rsid w:val="00CB4FAF"/>
    <w:rsid w:val="00CB64A0"/>
    <w:rsid w:val="00CE4202"/>
    <w:rsid w:val="00D17FB9"/>
    <w:rsid w:val="00D26234"/>
    <w:rsid w:val="00D355A4"/>
    <w:rsid w:val="00D36BBA"/>
    <w:rsid w:val="00D40B84"/>
    <w:rsid w:val="00D43925"/>
    <w:rsid w:val="00D5015B"/>
    <w:rsid w:val="00D5589C"/>
    <w:rsid w:val="00D60BA6"/>
    <w:rsid w:val="00D70FF4"/>
    <w:rsid w:val="00D7168C"/>
    <w:rsid w:val="00D7270E"/>
    <w:rsid w:val="00D72933"/>
    <w:rsid w:val="00D7672F"/>
    <w:rsid w:val="00D95207"/>
    <w:rsid w:val="00DA2441"/>
    <w:rsid w:val="00DB227E"/>
    <w:rsid w:val="00DB35B2"/>
    <w:rsid w:val="00DE49F3"/>
    <w:rsid w:val="00DF245A"/>
    <w:rsid w:val="00DF26B0"/>
    <w:rsid w:val="00DF6AA7"/>
    <w:rsid w:val="00E04D3A"/>
    <w:rsid w:val="00E102FC"/>
    <w:rsid w:val="00E11231"/>
    <w:rsid w:val="00E145BD"/>
    <w:rsid w:val="00E14C3D"/>
    <w:rsid w:val="00E30ADF"/>
    <w:rsid w:val="00E45423"/>
    <w:rsid w:val="00E54DF4"/>
    <w:rsid w:val="00E5529D"/>
    <w:rsid w:val="00E56772"/>
    <w:rsid w:val="00E73504"/>
    <w:rsid w:val="00E83AEE"/>
    <w:rsid w:val="00E872E8"/>
    <w:rsid w:val="00EA2197"/>
    <w:rsid w:val="00EA71B8"/>
    <w:rsid w:val="00ED018D"/>
    <w:rsid w:val="00ED48EB"/>
    <w:rsid w:val="00ED549A"/>
    <w:rsid w:val="00EF07F9"/>
    <w:rsid w:val="00EF1C01"/>
    <w:rsid w:val="00F0371E"/>
    <w:rsid w:val="00F1693E"/>
    <w:rsid w:val="00F3048C"/>
    <w:rsid w:val="00F30962"/>
    <w:rsid w:val="00F430D2"/>
    <w:rsid w:val="00F553DB"/>
    <w:rsid w:val="00F623AE"/>
    <w:rsid w:val="00F66A1F"/>
    <w:rsid w:val="00F711F0"/>
    <w:rsid w:val="00F77FEE"/>
    <w:rsid w:val="00F80606"/>
    <w:rsid w:val="00F9293D"/>
    <w:rsid w:val="00F93FF1"/>
    <w:rsid w:val="00F969DE"/>
    <w:rsid w:val="00FA2E80"/>
    <w:rsid w:val="00FB2327"/>
    <w:rsid w:val="00FB4255"/>
    <w:rsid w:val="00FB595A"/>
    <w:rsid w:val="00FC67AB"/>
    <w:rsid w:val="00FD0905"/>
    <w:rsid w:val="00FD2992"/>
    <w:rsid w:val="00FE07DD"/>
    <w:rsid w:val="00FE12DC"/>
    <w:rsid w:val="00FE4D69"/>
    <w:rsid w:val="01073AB0"/>
    <w:rsid w:val="01187125"/>
    <w:rsid w:val="01191CCC"/>
    <w:rsid w:val="01194C06"/>
    <w:rsid w:val="011B2BE4"/>
    <w:rsid w:val="013514CE"/>
    <w:rsid w:val="014A44CB"/>
    <w:rsid w:val="01552FCC"/>
    <w:rsid w:val="01554340"/>
    <w:rsid w:val="01557B14"/>
    <w:rsid w:val="0157177D"/>
    <w:rsid w:val="015B60F2"/>
    <w:rsid w:val="01687D3B"/>
    <w:rsid w:val="018960DB"/>
    <w:rsid w:val="019D2D40"/>
    <w:rsid w:val="019F4B48"/>
    <w:rsid w:val="01A32EC8"/>
    <w:rsid w:val="01AB7081"/>
    <w:rsid w:val="01AD6C68"/>
    <w:rsid w:val="01B403CB"/>
    <w:rsid w:val="01B46DCD"/>
    <w:rsid w:val="01B47943"/>
    <w:rsid w:val="01B613F5"/>
    <w:rsid w:val="01B94C83"/>
    <w:rsid w:val="01C22C34"/>
    <w:rsid w:val="01CB676F"/>
    <w:rsid w:val="01D533BA"/>
    <w:rsid w:val="01EF5043"/>
    <w:rsid w:val="01F52416"/>
    <w:rsid w:val="02073168"/>
    <w:rsid w:val="020E5D69"/>
    <w:rsid w:val="021A167E"/>
    <w:rsid w:val="021C3378"/>
    <w:rsid w:val="022401D7"/>
    <w:rsid w:val="02303A41"/>
    <w:rsid w:val="023546A5"/>
    <w:rsid w:val="023D0095"/>
    <w:rsid w:val="02431EC5"/>
    <w:rsid w:val="02483A89"/>
    <w:rsid w:val="02576D9F"/>
    <w:rsid w:val="025813B6"/>
    <w:rsid w:val="0267187F"/>
    <w:rsid w:val="027814ED"/>
    <w:rsid w:val="02897298"/>
    <w:rsid w:val="028E1A56"/>
    <w:rsid w:val="0293544E"/>
    <w:rsid w:val="02990BD3"/>
    <w:rsid w:val="02A31D59"/>
    <w:rsid w:val="02A44054"/>
    <w:rsid w:val="02A76933"/>
    <w:rsid w:val="02CD1A3A"/>
    <w:rsid w:val="02E85E93"/>
    <w:rsid w:val="02E95E7F"/>
    <w:rsid w:val="02F74C17"/>
    <w:rsid w:val="030067E8"/>
    <w:rsid w:val="030804F2"/>
    <w:rsid w:val="03086E7F"/>
    <w:rsid w:val="030A0849"/>
    <w:rsid w:val="030C7293"/>
    <w:rsid w:val="030F2328"/>
    <w:rsid w:val="031D4427"/>
    <w:rsid w:val="03325AE1"/>
    <w:rsid w:val="03344733"/>
    <w:rsid w:val="03392280"/>
    <w:rsid w:val="034A7EA9"/>
    <w:rsid w:val="034D2A4D"/>
    <w:rsid w:val="035B5C93"/>
    <w:rsid w:val="035C4B88"/>
    <w:rsid w:val="036B241B"/>
    <w:rsid w:val="036C198C"/>
    <w:rsid w:val="037A06EC"/>
    <w:rsid w:val="03837EC7"/>
    <w:rsid w:val="0391689B"/>
    <w:rsid w:val="039A7CB2"/>
    <w:rsid w:val="03A718DB"/>
    <w:rsid w:val="03A776B6"/>
    <w:rsid w:val="03B961A6"/>
    <w:rsid w:val="03C01CD2"/>
    <w:rsid w:val="03C30BDF"/>
    <w:rsid w:val="03D96319"/>
    <w:rsid w:val="03E137B9"/>
    <w:rsid w:val="03F7611B"/>
    <w:rsid w:val="040434E4"/>
    <w:rsid w:val="04137A53"/>
    <w:rsid w:val="042D6370"/>
    <w:rsid w:val="043615E5"/>
    <w:rsid w:val="0438385A"/>
    <w:rsid w:val="043A3E2F"/>
    <w:rsid w:val="043E6147"/>
    <w:rsid w:val="04417A84"/>
    <w:rsid w:val="04454344"/>
    <w:rsid w:val="0450316A"/>
    <w:rsid w:val="04553135"/>
    <w:rsid w:val="045B2DDC"/>
    <w:rsid w:val="045C0C37"/>
    <w:rsid w:val="045C5AE7"/>
    <w:rsid w:val="045C5E58"/>
    <w:rsid w:val="0465514F"/>
    <w:rsid w:val="046956D1"/>
    <w:rsid w:val="0469638A"/>
    <w:rsid w:val="046C750D"/>
    <w:rsid w:val="0472428E"/>
    <w:rsid w:val="047A0A89"/>
    <w:rsid w:val="047B4BC9"/>
    <w:rsid w:val="047D147E"/>
    <w:rsid w:val="04AE6B89"/>
    <w:rsid w:val="04BD581A"/>
    <w:rsid w:val="04BE68E9"/>
    <w:rsid w:val="04C50B4B"/>
    <w:rsid w:val="04CE35CF"/>
    <w:rsid w:val="04CE5E4E"/>
    <w:rsid w:val="04F1328F"/>
    <w:rsid w:val="04F66BF7"/>
    <w:rsid w:val="04FB6089"/>
    <w:rsid w:val="04FC7DE0"/>
    <w:rsid w:val="05023C57"/>
    <w:rsid w:val="05067B56"/>
    <w:rsid w:val="050E2D23"/>
    <w:rsid w:val="050F26DC"/>
    <w:rsid w:val="05180FA9"/>
    <w:rsid w:val="05212151"/>
    <w:rsid w:val="052D717C"/>
    <w:rsid w:val="0534135E"/>
    <w:rsid w:val="054168BE"/>
    <w:rsid w:val="054C00F9"/>
    <w:rsid w:val="0550141B"/>
    <w:rsid w:val="055D7B23"/>
    <w:rsid w:val="05632109"/>
    <w:rsid w:val="056B2BBA"/>
    <w:rsid w:val="056C40F6"/>
    <w:rsid w:val="058556A9"/>
    <w:rsid w:val="05855734"/>
    <w:rsid w:val="058778A8"/>
    <w:rsid w:val="058E39E8"/>
    <w:rsid w:val="05927B31"/>
    <w:rsid w:val="05992BA8"/>
    <w:rsid w:val="05993D91"/>
    <w:rsid w:val="05997A1D"/>
    <w:rsid w:val="05A75505"/>
    <w:rsid w:val="05A92092"/>
    <w:rsid w:val="05B72DC0"/>
    <w:rsid w:val="05BC716C"/>
    <w:rsid w:val="05BF7F54"/>
    <w:rsid w:val="05C00B74"/>
    <w:rsid w:val="05C861F4"/>
    <w:rsid w:val="05CA7796"/>
    <w:rsid w:val="05CD231A"/>
    <w:rsid w:val="05D76DEC"/>
    <w:rsid w:val="05DD5C05"/>
    <w:rsid w:val="05E26A69"/>
    <w:rsid w:val="05E354AD"/>
    <w:rsid w:val="05EA64C7"/>
    <w:rsid w:val="05EE6FCE"/>
    <w:rsid w:val="05F1531D"/>
    <w:rsid w:val="05F374A2"/>
    <w:rsid w:val="05F41FE7"/>
    <w:rsid w:val="05FE6856"/>
    <w:rsid w:val="05FF539E"/>
    <w:rsid w:val="060D7038"/>
    <w:rsid w:val="06142BA7"/>
    <w:rsid w:val="06142F19"/>
    <w:rsid w:val="06280607"/>
    <w:rsid w:val="062B26ED"/>
    <w:rsid w:val="062D4788"/>
    <w:rsid w:val="06340D98"/>
    <w:rsid w:val="06352F43"/>
    <w:rsid w:val="063B7AB1"/>
    <w:rsid w:val="063D0284"/>
    <w:rsid w:val="06450ABD"/>
    <w:rsid w:val="065418C8"/>
    <w:rsid w:val="06557E52"/>
    <w:rsid w:val="065A4F1A"/>
    <w:rsid w:val="065B1EDC"/>
    <w:rsid w:val="06627D35"/>
    <w:rsid w:val="06632D01"/>
    <w:rsid w:val="06647B78"/>
    <w:rsid w:val="066636CB"/>
    <w:rsid w:val="06675F97"/>
    <w:rsid w:val="066953D7"/>
    <w:rsid w:val="066C0E8A"/>
    <w:rsid w:val="066F2CCB"/>
    <w:rsid w:val="06745D56"/>
    <w:rsid w:val="0682323D"/>
    <w:rsid w:val="06867A11"/>
    <w:rsid w:val="068E1C7E"/>
    <w:rsid w:val="069074E1"/>
    <w:rsid w:val="069E4CBD"/>
    <w:rsid w:val="06AC4759"/>
    <w:rsid w:val="06B30B9D"/>
    <w:rsid w:val="06B726F6"/>
    <w:rsid w:val="06B76E06"/>
    <w:rsid w:val="06D001AB"/>
    <w:rsid w:val="06D55D2D"/>
    <w:rsid w:val="06DF46E1"/>
    <w:rsid w:val="06E56D93"/>
    <w:rsid w:val="06E80D7D"/>
    <w:rsid w:val="06F07EBA"/>
    <w:rsid w:val="06F50141"/>
    <w:rsid w:val="06F72F45"/>
    <w:rsid w:val="070825D5"/>
    <w:rsid w:val="070F73B3"/>
    <w:rsid w:val="07442415"/>
    <w:rsid w:val="0749706E"/>
    <w:rsid w:val="07507FCE"/>
    <w:rsid w:val="07524A05"/>
    <w:rsid w:val="07544777"/>
    <w:rsid w:val="07575432"/>
    <w:rsid w:val="07667579"/>
    <w:rsid w:val="076857D8"/>
    <w:rsid w:val="076C28D9"/>
    <w:rsid w:val="077A65E7"/>
    <w:rsid w:val="077E7BBE"/>
    <w:rsid w:val="0782381E"/>
    <w:rsid w:val="07882A21"/>
    <w:rsid w:val="079330D0"/>
    <w:rsid w:val="079B11B4"/>
    <w:rsid w:val="079F2EE2"/>
    <w:rsid w:val="07A669A0"/>
    <w:rsid w:val="07AB0CC1"/>
    <w:rsid w:val="07AF53A9"/>
    <w:rsid w:val="07B70C2A"/>
    <w:rsid w:val="07C96CC3"/>
    <w:rsid w:val="07E167CE"/>
    <w:rsid w:val="07EA0942"/>
    <w:rsid w:val="07F66782"/>
    <w:rsid w:val="07F77889"/>
    <w:rsid w:val="07F86B46"/>
    <w:rsid w:val="07FE1A95"/>
    <w:rsid w:val="08051E0C"/>
    <w:rsid w:val="08073162"/>
    <w:rsid w:val="080E3EC3"/>
    <w:rsid w:val="08107A25"/>
    <w:rsid w:val="08131F04"/>
    <w:rsid w:val="08220647"/>
    <w:rsid w:val="082F33F8"/>
    <w:rsid w:val="08381D90"/>
    <w:rsid w:val="08433586"/>
    <w:rsid w:val="084768A8"/>
    <w:rsid w:val="084E44E4"/>
    <w:rsid w:val="08551CB8"/>
    <w:rsid w:val="085630AB"/>
    <w:rsid w:val="085C5EF1"/>
    <w:rsid w:val="085F2E01"/>
    <w:rsid w:val="086A1DF8"/>
    <w:rsid w:val="08707E34"/>
    <w:rsid w:val="087A64BB"/>
    <w:rsid w:val="087D3529"/>
    <w:rsid w:val="087E1794"/>
    <w:rsid w:val="087F0F8A"/>
    <w:rsid w:val="08816865"/>
    <w:rsid w:val="08865CB4"/>
    <w:rsid w:val="08951721"/>
    <w:rsid w:val="08B123B3"/>
    <w:rsid w:val="08B94BF1"/>
    <w:rsid w:val="08D60D06"/>
    <w:rsid w:val="08DD1B29"/>
    <w:rsid w:val="08E050CD"/>
    <w:rsid w:val="08E33FF4"/>
    <w:rsid w:val="08E73240"/>
    <w:rsid w:val="08F72F17"/>
    <w:rsid w:val="09055CFD"/>
    <w:rsid w:val="09085A4B"/>
    <w:rsid w:val="090B2D28"/>
    <w:rsid w:val="09164F9E"/>
    <w:rsid w:val="091A5286"/>
    <w:rsid w:val="091D24E1"/>
    <w:rsid w:val="092A6B1D"/>
    <w:rsid w:val="09317896"/>
    <w:rsid w:val="093969C0"/>
    <w:rsid w:val="0941202C"/>
    <w:rsid w:val="09436C96"/>
    <w:rsid w:val="09442A86"/>
    <w:rsid w:val="094C7573"/>
    <w:rsid w:val="095613DC"/>
    <w:rsid w:val="09610434"/>
    <w:rsid w:val="09622A32"/>
    <w:rsid w:val="096E40F9"/>
    <w:rsid w:val="096F3F46"/>
    <w:rsid w:val="0976670E"/>
    <w:rsid w:val="09855739"/>
    <w:rsid w:val="098A2349"/>
    <w:rsid w:val="09927AE4"/>
    <w:rsid w:val="09A37BA5"/>
    <w:rsid w:val="09DB46AA"/>
    <w:rsid w:val="09DD50C3"/>
    <w:rsid w:val="09F43F56"/>
    <w:rsid w:val="0A010515"/>
    <w:rsid w:val="0A2C2790"/>
    <w:rsid w:val="0A2E447B"/>
    <w:rsid w:val="0A35074E"/>
    <w:rsid w:val="0A3967BF"/>
    <w:rsid w:val="0A3C7A47"/>
    <w:rsid w:val="0A3E08A4"/>
    <w:rsid w:val="0A3F4E5A"/>
    <w:rsid w:val="0A40447F"/>
    <w:rsid w:val="0A477BA3"/>
    <w:rsid w:val="0A5D6906"/>
    <w:rsid w:val="0A682327"/>
    <w:rsid w:val="0A774278"/>
    <w:rsid w:val="0A776A1F"/>
    <w:rsid w:val="0A7D45C0"/>
    <w:rsid w:val="0A865471"/>
    <w:rsid w:val="0A8E4B31"/>
    <w:rsid w:val="0A9F1A27"/>
    <w:rsid w:val="0AA94475"/>
    <w:rsid w:val="0AAD5479"/>
    <w:rsid w:val="0AB177B8"/>
    <w:rsid w:val="0AB22477"/>
    <w:rsid w:val="0AC15B95"/>
    <w:rsid w:val="0ACF7736"/>
    <w:rsid w:val="0AE6028C"/>
    <w:rsid w:val="0AE75332"/>
    <w:rsid w:val="0AEB5C04"/>
    <w:rsid w:val="0AF76ACB"/>
    <w:rsid w:val="0B0401B2"/>
    <w:rsid w:val="0B0479DE"/>
    <w:rsid w:val="0B0C4D08"/>
    <w:rsid w:val="0B2123D9"/>
    <w:rsid w:val="0B23671C"/>
    <w:rsid w:val="0B324ACE"/>
    <w:rsid w:val="0B325D24"/>
    <w:rsid w:val="0B450720"/>
    <w:rsid w:val="0B474E70"/>
    <w:rsid w:val="0B4D012D"/>
    <w:rsid w:val="0B5E32E2"/>
    <w:rsid w:val="0B6472AE"/>
    <w:rsid w:val="0B712160"/>
    <w:rsid w:val="0B716FF9"/>
    <w:rsid w:val="0B771635"/>
    <w:rsid w:val="0B8A1065"/>
    <w:rsid w:val="0B8C6AE1"/>
    <w:rsid w:val="0B8D79BA"/>
    <w:rsid w:val="0B8D7D60"/>
    <w:rsid w:val="0B903BE2"/>
    <w:rsid w:val="0B986A68"/>
    <w:rsid w:val="0B9D390E"/>
    <w:rsid w:val="0B9D3C59"/>
    <w:rsid w:val="0BA05E68"/>
    <w:rsid w:val="0BAB170A"/>
    <w:rsid w:val="0BB97D04"/>
    <w:rsid w:val="0BD219E3"/>
    <w:rsid w:val="0BD610B3"/>
    <w:rsid w:val="0BDA4963"/>
    <w:rsid w:val="0BF12202"/>
    <w:rsid w:val="0BF33A80"/>
    <w:rsid w:val="0BF720DE"/>
    <w:rsid w:val="0C056179"/>
    <w:rsid w:val="0C09548B"/>
    <w:rsid w:val="0C0C5FB3"/>
    <w:rsid w:val="0C1E3B7D"/>
    <w:rsid w:val="0C226EDE"/>
    <w:rsid w:val="0C241BDF"/>
    <w:rsid w:val="0C2709E3"/>
    <w:rsid w:val="0C293A4E"/>
    <w:rsid w:val="0C395C2E"/>
    <w:rsid w:val="0C3D786A"/>
    <w:rsid w:val="0C3E79C3"/>
    <w:rsid w:val="0C4D23F9"/>
    <w:rsid w:val="0C515EB4"/>
    <w:rsid w:val="0C667F31"/>
    <w:rsid w:val="0C7121C6"/>
    <w:rsid w:val="0C7C0B3F"/>
    <w:rsid w:val="0C830B90"/>
    <w:rsid w:val="0C955363"/>
    <w:rsid w:val="0C985D46"/>
    <w:rsid w:val="0CA042E5"/>
    <w:rsid w:val="0CAA3750"/>
    <w:rsid w:val="0CAC42A9"/>
    <w:rsid w:val="0CB11AA2"/>
    <w:rsid w:val="0CB511B1"/>
    <w:rsid w:val="0CB5476B"/>
    <w:rsid w:val="0CB8455E"/>
    <w:rsid w:val="0CBD3F71"/>
    <w:rsid w:val="0CBE3144"/>
    <w:rsid w:val="0CC14D44"/>
    <w:rsid w:val="0CC347A9"/>
    <w:rsid w:val="0CD50791"/>
    <w:rsid w:val="0CE50E00"/>
    <w:rsid w:val="0CE701BA"/>
    <w:rsid w:val="0CF15A26"/>
    <w:rsid w:val="0CF45CE9"/>
    <w:rsid w:val="0CFD1B16"/>
    <w:rsid w:val="0D06214D"/>
    <w:rsid w:val="0D095D8D"/>
    <w:rsid w:val="0D0D48C3"/>
    <w:rsid w:val="0D255568"/>
    <w:rsid w:val="0D287D7E"/>
    <w:rsid w:val="0D320B4C"/>
    <w:rsid w:val="0D4672F7"/>
    <w:rsid w:val="0D470B3A"/>
    <w:rsid w:val="0D4B3609"/>
    <w:rsid w:val="0D5D4604"/>
    <w:rsid w:val="0D6E2B4F"/>
    <w:rsid w:val="0D6F33CE"/>
    <w:rsid w:val="0D727321"/>
    <w:rsid w:val="0D8C065E"/>
    <w:rsid w:val="0D8D4F8A"/>
    <w:rsid w:val="0D9326E1"/>
    <w:rsid w:val="0D936CE3"/>
    <w:rsid w:val="0D967962"/>
    <w:rsid w:val="0D9A0351"/>
    <w:rsid w:val="0D9C742C"/>
    <w:rsid w:val="0D9F634B"/>
    <w:rsid w:val="0DA553F4"/>
    <w:rsid w:val="0DA931D1"/>
    <w:rsid w:val="0DB73925"/>
    <w:rsid w:val="0DC12DB6"/>
    <w:rsid w:val="0DC87456"/>
    <w:rsid w:val="0DCD2703"/>
    <w:rsid w:val="0DD049D4"/>
    <w:rsid w:val="0DDD4334"/>
    <w:rsid w:val="0DDF6B6C"/>
    <w:rsid w:val="0DE77CA1"/>
    <w:rsid w:val="0DEC2445"/>
    <w:rsid w:val="0DF11B29"/>
    <w:rsid w:val="0DF425E3"/>
    <w:rsid w:val="0DF52AF7"/>
    <w:rsid w:val="0DF80E82"/>
    <w:rsid w:val="0DF95ABD"/>
    <w:rsid w:val="0E087ED4"/>
    <w:rsid w:val="0E0A659D"/>
    <w:rsid w:val="0E0B0643"/>
    <w:rsid w:val="0E0D0030"/>
    <w:rsid w:val="0E172A49"/>
    <w:rsid w:val="0E1A13C7"/>
    <w:rsid w:val="0E1E6ADA"/>
    <w:rsid w:val="0E20683E"/>
    <w:rsid w:val="0E3003E7"/>
    <w:rsid w:val="0E303346"/>
    <w:rsid w:val="0E313327"/>
    <w:rsid w:val="0E396776"/>
    <w:rsid w:val="0E3B3348"/>
    <w:rsid w:val="0E4A5031"/>
    <w:rsid w:val="0E5051AB"/>
    <w:rsid w:val="0E522792"/>
    <w:rsid w:val="0E56590A"/>
    <w:rsid w:val="0E5B4F97"/>
    <w:rsid w:val="0E7E5117"/>
    <w:rsid w:val="0E822BC0"/>
    <w:rsid w:val="0E8D3DF7"/>
    <w:rsid w:val="0EA07A9A"/>
    <w:rsid w:val="0EA25A19"/>
    <w:rsid w:val="0EA26347"/>
    <w:rsid w:val="0EA3490D"/>
    <w:rsid w:val="0EC14DAD"/>
    <w:rsid w:val="0EC87483"/>
    <w:rsid w:val="0ECA7D0C"/>
    <w:rsid w:val="0ED3329B"/>
    <w:rsid w:val="0ED93F94"/>
    <w:rsid w:val="0ED9684B"/>
    <w:rsid w:val="0EDC35C5"/>
    <w:rsid w:val="0EF35844"/>
    <w:rsid w:val="0EF53767"/>
    <w:rsid w:val="0EF916EA"/>
    <w:rsid w:val="0EFA3C52"/>
    <w:rsid w:val="0EFB1B1E"/>
    <w:rsid w:val="0EFD7ECA"/>
    <w:rsid w:val="0EFF5939"/>
    <w:rsid w:val="0F060CED"/>
    <w:rsid w:val="0F175D57"/>
    <w:rsid w:val="0F220D97"/>
    <w:rsid w:val="0F29727F"/>
    <w:rsid w:val="0F3D042B"/>
    <w:rsid w:val="0F5604AF"/>
    <w:rsid w:val="0F563202"/>
    <w:rsid w:val="0F623BA1"/>
    <w:rsid w:val="0F630C9B"/>
    <w:rsid w:val="0F6A7843"/>
    <w:rsid w:val="0F6C2FB3"/>
    <w:rsid w:val="0F7C770D"/>
    <w:rsid w:val="0F8E3BBF"/>
    <w:rsid w:val="0F9025EB"/>
    <w:rsid w:val="0F967681"/>
    <w:rsid w:val="0F980D74"/>
    <w:rsid w:val="0F9F39A6"/>
    <w:rsid w:val="0FA37599"/>
    <w:rsid w:val="0FAD7DA6"/>
    <w:rsid w:val="0FAF362C"/>
    <w:rsid w:val="0FB059AD"/>
    <w:rsid w:val="0FB66A21"/>
    <w:rsid w:val="0FB706CF"/>
    <w:rsid w:val="0FC03978"/>
    <w:rsid w:val="0FC04256"/>
    <w:rsid w:val="0FCB13E4"/>
    <w:rsid w:val="0FCF75C2"/>
    <w:rsid w:val="0FD00D8C"/>
    <w:rsid w:val="0FDF3724"/>
    <w:rsid w:val="0FEA4082"/>
    <w:rsid w:val="0FFF1CC4"/>
    <w:rsid w:val="10017C52"/>
    <w:rsid w:val="10063D2A"/>
    <w:rsid w:val="100C23CC"/>
    <w:rsid w:val="100E50A2"/>
    <w:rsid w:val="10130CDF"/>
    <w:rsid w:val="101340A9"/>
    <w:rsid w:val="10150758"/>
    <w:rsid w:val="102434B1"/>
    <w:rsid w:val="10343325"/>
    <w:rsid w:val="103E0159"/>
    <w:rsid w:val="103E7CDC"/>
    <w:rsid w:val="103F134B"/>
    <w:rsid w:val="104847B2"/>
    <w:rsid w:val="104B0C36"/>
    <w:rsid w:val="104F3586"/>
    <w:rsid w:val="106033C8"/>
    <w:rsid w:val="1066633A"/>
    <w:rsid w:val="106804D6"/>
    <w:rsid w:val="106C2F38"/>
    <w:rsid w:val="1071496E"/>
    <w:rsid w:val="10827036"/>
    <w:rsid w:val="108F4843"/>
    <w:rsid w:val="10915F77"/>
    <w:rsid w:val="109D71AE"/>
    <w:rsid w:val="109F0BEB"/>
    <w:rsid w:val="109F1FF0"/>
    <w:rsid w:val="10A20336"/>
    <w:rsid w:val="10B16860"/>
    <w:rsid w:val="10B60404"/>
    <w:rsid w:val="10B80B5D"/>
    <w:rsid w:val="10BC54AA"/>
    <w:rsid w:val="10D70344"/>
    <w:rsid w:val="10D803EB"/>
    <w:rsid w:val="10E43677"/>
    <w:rsid w:val="10F070E2"/>
    <w:rsid w:val="10F33BC6"/>
    <w:rsid w:val="10F51B18"/>
    <w:rsid w:val="10FC079C"/>
    <w:rsid w:val="10FF79D1"/>
    <w:rsid w:val="110049C8"/>
    <w:rsid w:val="1106548E"/>
    <w:rsid w:val="110A277C"/>
    <w:rsid w:val="110F1D79"/>
    <w:rsid w:val="1119559E"/>
    <w:rsid w:val="111C3F0A"/>
    <w:rsid w:val="1123556D"/>
    <w:rsid w:val="11452F29"/>
    <w:rsid w:val="114A6D45"/>
    <w:rsid w:val="115C52AD"/>
    <w:rsid w:val="11611A2F"/>
    <w:rsid w:val="11630C86"/>
    <w:rsid w:val="117102EE"/>
    <w:rsid w:val="1171426A"/>
    <w:rsid w:val="11717837"/>
    <w:rsid w:val="11745151"/>
    <w:rsid w:val="11747213"/>
    <w:rsid w:val="11915BF1"/>
    <w:rsid w:val="11A52C87"/>
    <w:rsid w:val="11A70F7D"/>
    <w:rsid w:val="11B054F8"/>
    <w:rsid w:val="11C8798A"/>
    <w:rsid w:val="11D63F8A"/>
    <w:rsid w:val="11D86033"/>
    <w:rsid w:val="11DC119F"/>
    <w:rsid w:val="11F424A5"/>
    <w:rsid w:val="12013100"/>
    <w:rsid w:val="12024D7A"/>
    <w:rsid w:val="120520BF"/>
    <w:rsid w:val="120C3B3A"/>
    <w:rsid w:val="121242A7"/>
    <w:rsid w:val="121E43F7"/>
    <w:rsid w:val="121F268C"/>
    <w:rsid w:val="12207E22"/>
    <w:rsid w:val="12257051"/>
    <w:rsid w:val="12296E8C"/>
    <w:rsid w:val="122C3A81"/>
    <w:rsid w:val="1234717C"/>
    <w:rsid w:val="124E3679"/>
    <w:rsid w:val="12545797"/>
    <w:rsid w:val="12573F4C"/>
    <w:rsid w:val="12683BB7"/>
    <w:rsid w:val="127706D3"/>
    <w:rsid w:val="127D6B53"/>
    <w:rsid w:val="127F7141"/>
    <w:rsid w:val="1285353F"/>
    <w:rsid w:val="12884511"/>
    <w:rsid w:val="1292612A"/>
    <w:rsid w:val="1298260C"/>
    <w:rsid w:val="12C02032"/>
    <w:rsid w:val="12C85484"/>
    <w:rsid w:val="12D02407"/>
    <w:rsid w:val="12D15EE6"/>
    <w:rsid w:val="12D535EC"/>
    <w:rsid w:val="12E24210"/>
    <w:rsid w:val="12E9281E"/>
    <w:rsid w:val="12F745CA"/>
    <w:rsid w:val="130D681F"/>
    <w:rsid w:val="131F0000"/>
    <w:rsid w:val="132A35CA"/>
    <w:rsid w:val="132B594A"/>
    <w:rsid w:val="132F5F22"/>
    <w:rsid w:val="133C5966"/>
    <w:rsid w:val="13570503"/>
    <w:rsid w:val="135D415E"/>
    <w:rsid w:val="136108C7"/>
    <w:rsid w:val="13821454"/>
    <w:rsid w:val="1382693C"/>
    <w:rsid w:val="13843EA1"/>
    <w:rsid w:val="1386181C"/>
    <w:rsid w:val="138F4121"/>
    <w:rsid w:val="13953186"/>
    <w:rsid w:val="139D5CB8"/>
    <w:rsid w:val="13B32540"/>
    <w:rsid w:val="13B377BC"/>
    <w:rsid w:val="13BB40D6"/>
    <w:rsid w:val="13C678A7"/>
    <w:rsid w:val="13CD2FC3"/>
    <w:rsid w:val="13CD7383"/>
    <w:rsid w:val="13DB5828"/>
    <w:rsid w:val="13DD4DBC"/>
    <w:rsid w:val="13E53B4D"/>
    <w:rsid w:val="13EA1F83"/>
    <w:rsid w:val="13EB0B77"/>
    <w:rsid w:val="13EF7EB5"/>
    <w:rsid w:val="13F5174D"/>
    <w:rsid w:val="13FC1A63"/>
    <w:rsid w:val="13FD6D46"/>
    <w:rsid w:val="13FE432D"/>
    <w:rsid w:val="140F7197"/>
    <w:rsid w:val="14113572"/>
    <w:rsid w:val="141A597F"/>
    <w:rsid w:val="14331039"/>
    <w:rsid w:val="14400EB9"/>
    <w:rsid w:val="144112D5"/>
    <w:rsid w:val="1445749C"/>
    <w:rsid w:val="144F29AB"/>
    <w:rsid w:val="14597107"/>
    <w:rsid w:val="1462054C"/>
    <w:rsid w:val="14685D0B"/>
    <w:rsid w:val="14725B01"/>
    <w:rsid w:val="14755420"/>
    <w:rsid w:val="14795985"/>
    <w:rsid w:val="1491733A"/>
    <w:rsid w:val="149F6E22"/>
    <w:rsid w:val="14A16483"/>
    <w:rsid w:val="14B35F40"/>
    <w:rsid w:val="14BB4421"/>
    <w:rsid w:val="14BC3BE8"/>
    <w:rsid w:val="14C17028"/>
    <w:rsid w:val="14CA12CB"/>
    <w:rsid w:val="14CC235F"/>
    <w:rsid w:val="14CF0087"/>
    <w:rsid w:val="14DA0F7F"/>
    <w:rsid w:val="14DC7F2C"/>
    <w:rsid w:val="14E36F8D"/>
    <w:rsid w:val="14E969D4"/>
    <w:rsid w:val="15067A6F"/>
    <w:rsid w:val="15076611"/>
    <w:rsid w:val="151B407E"/>
    <w:rsid w:val="1521195F"/>
    <w:rsid w:val="152474F0"/>
    <w:rsid w:val="1528308E"/>
    <w:rsid w:val="154504AF"/>
    <w:rsid w:val="15495925"/>
    <w:rsid w:val="15532E92"/>
    <w:rsid w:val="155567A2"/>
    <w:rsid w:val="155810B0"/>
    <w:rsid w:val="155D3842"/>
    <w:rsid w:val="155E27FA"/>
    <w:rsid w:val="1566317E"/>
    <w:rsid w:val="156E0849"/>
    <w:rsid w:val="15762E38"/>
    <w:rsid w:val="15771574"/>
    <w:rsid w:val="157A39FB"/>
    <w:rsid w:val="157B2D79"/>
    <w:rsid w:val="15830FDD"/>
    <w:rsid w:val="158354A3"/>
    <w:rsid w:val="158C5BCC"/>
    <w:rsid w:val="15911B91"/>
    <w:rsid w:val="15914B45"/>
    <w:rsid w:val="159760A5"/>
    <w:rsid w:val="159D4EAE"/>
    <w:rsid w:val="159F090F"/>
    <w:rsid w:val="15C6314B"/>
    <w:rsid w:val="15CF35F3"/>
    <w:rsid w:val="15EB0538"/>
    <w:rsid w:val="15ED50C7"/>
    <w:rsid w:val="15F10A40"/>
    <w:rsid w:val="16077A86"/>
    <w:rsid w:val="161847FF"/>
    <w:rsid w:val="161E3C21"/>
    <w:rsid w:val="16275B0E"/>
    <w:rsid w:val="162E1B45"/>
    <w:rsid w:val="163D77D0"/>
    <w:rsid w:val="16600714"/>
    <w:rsid w:val="16752E1A"/>
    <w:rsid w:val="167F0548"/>
    <w:rsid w:val="16867B01"/>
    <w:rsid w:val="169263CE"/>
    <w:rsid w:val="16932384"/>
    <w:rsid w:val="169C5285"/>
    <w:rsid w:val="16A17C6F"/>
    <w:rsid w:val="16A7296D"/>
    <w:rsid w:val="16A95FE8"/>
    <w:rsid w:val="16BC51E2"/>
    <w:rsid w:val="16C03DEA"/>
    <w:rsid w:val="16C051F7"/>
    <w:rsid w:val="16CF1562"/>
    <w:rsid w:val="16DA4243"/>
    <w:rsid w:val="16E15119"/>
    <w:rsid w:val="16F75884"/>
    <w:rsid w:val="16F843B8"/>
    <w:rsid w:val="17082446"/>
    <w:rsid w:val="170870A2"/>
    <w:rsid w:val="17091282"/>
    <w:rsid w:val="171C417D"/>
    <w:rsid w:val="17223C65"/>
    <w:rsid w:val="1729667A"/>
    <w:rsid w:val="172C0F47"/>
    <w:rsid w:val="172D61FC"/>
    <w:rsid w:val="172F64EE"/>
    <w:rsid w:val="17396AF7"/>
    <w:rsid w:val="173F56B8"/>
    <w:rsid w:val="17451909"/>
    <w:rsid w:val="174D675A"/>
    <w:rsid w:val="176C10F1"/>
    <w:rsid w:val="17735A7D"/>
    <w:rsid w:val="17785B16"/>
    <w:rsid w:val="178A02D9"/>
    <w:rsid w:val="178D75CB"/>
    <w:rsid w:val="17A70234"/>
    <w:rsid w:val="17AA5AD6"/>
    <w:rsid w:val="17B10098"/>
    <w:rsid w:val="17B35A74"/>
    <w:rsid w:val="17C922D8"/>
    <w:rsid w:val="17D64B8D"/>
    <w:rsid w:val="17DB5D6E"/>
    <w:rsid w:val="17DD3822"/>
    <w:rsid w:val="17E409A9"/>
    <w:rsid w:val="17EB23D9"/>
    <w:rsid w:val="17EF7607"/>
    <w:rsid w:val="181507FE"/>
    <w:rsid w:val="18245067"/>
    <w:rsid w:val="18265321"/>
    <w:rsid w:val="18285753"/>
    <w:rsid w:val="18515CA7"/>
    <w:rsid w:val="185436A2"/>
    <w:rsid w:val="18600652"/>
    <w:rsid w:val="186A5B11"/>
    <w:rsid w:val="187133EF"/>
    <w:rsid w:val="187353B3"/>
    <w:rsid w:val="187D20D4"/>
    <w:rsid w:val="187E4C8A"/>
    <w:rsid w:val="188136DE"/>
    <w:rsid w:val="18831AC4"/>
    <w:rsid w:val="18882AAB"/>
    <w:rsid w:val="188A2723"/>
    <w:rsid w:val="189926A8"/>
    <w:rsid w:val="18AF49BA"/>
    <w:rsid w:val="18B73A82"/>
    <w:rsid w:val="18BB47E1"/>
    <w:rsid w:val="18C62455"/>
    <w:rsid w:val="18F37671"/>
    <w:rsid w:val="18FA6204"/>
    <w:rsid w:val="18FF7114"/>
    <w:rsid w:val="19047155"/>
    <w:rsid w:val="190B79EC"/>
    <w:rsid w:val="19107B45"/>
    <w:rsid w:val="192901B5"/>
    <w:rsid w:val="19320459"/>
    <w:rsid w:val="19366780"/>
    <w:rsid w:val="1937250D"/>
    <w:rsid w:val="19423E29"/>
    <w:rsid w:val="1947051A"/>
    <w:rsid w:val="194C5A69"/>
    <w:rsid w:val="194F01EB"/>
    <w:rsid w:val="19554CBA"/>
    <w:rsid w:val="195A21A9"/>
    <w:rsid w:val="19772F33"/>
    <w:rsid w:val="1979667C"/>
    <w:rsid w:val="198114AA"/>
    <w:rsid w:val="1985259F"/>
    <w:rsid w:val="198648C5"/>
    <w:rsid w:val="198950D8"/>
    <w:rsid w:val="198F5F56"/>
    <w:rsid w:val="19955C28"/>
    <w:rsid w:val="19A27B6D"/>
    <w:rsid w:val="19A566F3"/>
    <w:rsid w:val="19B318E0"/>
    <w:rsid w:val="19B6466B"/>
    <w:rsid w:val="19B66026"/>
    <w:rsid w:val="19B839C8"/>
    <w:rsid w:val="19BC0D62"/>
    <w:rsid w:val="19CE4EAC"/>
    <w:rsid w:val="19DC2158"/>
    <w:rsid w:val="19DF7945"/>
    <w:rsid w:val="19ED6C9E"/>
    <w:rsid w:val="1A0748D8"/>
    <w:rsid w:val="1A2F15D4"/>
    <w:rsid w:val="1A38675C"/>
    <w:rsid w:val="1A3A0F73"/>
    <w:rsid w:val="1A3F0D02"/>
    <w:rsid w:val="1A427199"/>
    <w:rsid w:val="1A4761FF"/>
    <w:rsid w:val="1A4B6184"/>
    <w:rsid w:val="1A5C5612"/>
    <w:rsid w:val="1A642BEA"/>
    <w:rsid w:val="1A693AF3"/>
    <w:rsid w:val="1A6C5B1B"/>
    <w:rsid w:val="1A6D6AA8"/>
    <w:rsid w:val="1A6F771F"/>
    <w:rsid w:val="1A703B69"/>
    <w:rsid w:val="1A871036"/>
    <w:rsid w:val="1A8D6794"/>
    <w:rsid w:val="1A94254D"/>
    <w:rsid w:val="1A9A435C"/>
    <w:rsid w:val="1A9D1DC5"/>
    <w:rsid w:val="1AAB545B"/>
    <w:rsid w:val="1AB158FF"/>
    <w:rsid w:val="1AB63900"/>
    <w:rsid w:val="1ABC6BBD"/>
    <w:rsid w:val="1AC07B27"/>
    <w:rsid w:val="1AC33BFD"/>
    <w:rsid w:val="1AC55F99"/>
    <w:rsid w:val="1AC57328"/>
    <w:rsid w:val="1ACA29C7"/>
    <w:rsid w:val="1ACB5C3E"/>
    <w:rsid w:val="1ACE4DFA"/>
    <w:rsid w:val="1AD37D49"/>
    <w:rsid w:val="1ADE7B10"/>
    <w:rsid w:val="1AE37CB9"/>
    <w:rsid w:val="1AEA5306"/>
    <w:rsid w:val="1AEB57A4"/>
    <w:rsid w:val="1AF53A3A"/>
    <w:rsid w:val="1AF54F54"/>
    <w:rsid w:val="1AF87006"/>
    <w:rsid w:val="1AFB3689"/>
    <w:rsid w:val="1AFD4DE4"/>
    <w:rsid w:val="1B012B07"/>
    <w:rsid w:val="1B070167"/>
    <w:rsid w:val="1B0E37C8"/>
    <w:rsid w:val="1B0E655F"/>
    <w:rsid w:val="1B1B32FB"/>
    <w:rsid w:val="1B2B18F1"/>
    <w:rsid w:val="1B360B09"/>
    <w:rsid w:val="1B576A1E"/>
    <w:rsid w:val="1B5E01AF"/>
    <w:rsid w:val="1B5F1363"/>
    <w:rsid w:val="1B6C0EEB"/>
    <w:rsid w:val="1B6C3BDB"/>
    <w:rsid w:val="1B7D294E"/>
    <w:rsid w:val="1B8E1C5F"/>
    <w:rsid w:val="1B926FBC"/>
    <w:rsid w:val="1B9D4F16"/>
    <w:rsid w:val="1BA613C6"/>
    <w:rsid w:val="1BA71E68"/>
    <w:rsid w:val="1BB005C9"/>
    <w:rsid w:val="1BB41E26"/>
    <w:rsid w:val="1BBC4B29"/>
    <w:rsid w:val="1BDE6C41"/>
    <w:rsid w:val="1BDF3C43"/>
    <w:rsid w:val="1BE339A1"/>
    <w:rsid w:val="1BE50058"/>
    <w:rsid w:val="1BF407C9"/>
    <w:rsid w:val="1BF77458"/>
    <w:rsid w:val="1C031272"/>
    <w:rsid w:val="1C235EB5"/>
    <w:rsid w:val="1C2431C3"/>
    <w:rsid w:val="1C39314E"/>
    <w:rsid w:val="1C436E9E"/>
    <w:rsid w:val="1C4D1E60"/>
    <w:rsid w:val="1C562A84"/>
    <w:rsid w:val="1C587CB4"/>
    <w:rsid w:val="1C591FCF"/>
    <w:rsid w:val="1C6D0ADD"/>
    <w:rsid w:val="1C7658F8"/>
    <w:rsid w:val="1C803AAB"/>
    <w:rsid w:val="1C86070D"/>
    <w:rsid w:val="1C8A41C4"/>
    <w:rsid w:val="1C902C94"/>
    <w:rsid w:val="1C944EEB"/>
    <w:rsid w:val="1CA358E9"/>
    <w:rsid w:val="1CA66F0D"/>
    <w:rsid w:val="1CA86367"/>
    <w:rsid w:val="1CA96049"/>
    <w:rsid w:val="1CAB3676"/>
    <w:rsid w:val="1CAD69E5"/>
    <w:rsid w:val="1CB9055D"/>
    <w:rsid w:val="1CC51192"/>
    <w:rsid w:val="1CCC75A3"/>
    <w:rsid w:val="1CEE31C6"/>
    <w:rsid w:val="1CF57D97"/>
    <w:rsid w:val="1CFE64AD"/>
    <w:rsid w:val="1D0125C2"/>
    <w:rsid w:val="1D0F5CE6"/>
    <w:rsid w:val="1D101744"/>
    <w:rsid w:val="1D173F10"/>
    <w:rsid w:val="1D197D68"/>
    <w:rsid w:val="1D202746"/>
    <w:rsid w:val="1D231C02"/>
    <w:rsid w:val="1D265960"/>
    <w:rsid w:val="1D2966F3"/>
    <w:rsid w:val="1D5424E7"/>
    <w:rsid w:val="1D5622A0"/>
    <w:rsid w:val="1D572ABE"/>
    <w:rsid w:val="1D693D52"/>
    <w:rsid w:val="1D693E52"/>
    <w:rsid w:val="1D6E019C"/>
    <w:rsid w:val="1D6E079E"/>
    <w:rsid w:val="1D7D6584"/>
    <w:rsid w:val="1D846D6C"/>
    <w:rsid w:val="1D96490D"/>
    <w:rsid w:val="1D967203"/>
    <w:rsid w:val="1DA5447C"/>
    <w:rsid w:val="1DB5610D"/>
    <w:rsid w:val="1DB61D10"/>
    <w:rsid w:val="1DB9632C"/>
    <w:rsid w:val="1DC111DC"/>
    <w:rsid w:val="1DC81D82"/>
    <w:rsid w:val="1DC87A13"/>
    <w:rsid w:val="1DCB335D"/>
    <w:rsid w:val="1DCF151A"/>
    <w:rsid w:val="1DDE5CF1"/>
    <w:rsid w:val="1DDF573C"/>
    <w:rsid w:val="1DE70BF1"/>
    <w:rsid w:val="1DE71423"/>
    <w:rsid w:val="1DF01C49"/>
    <w:rsid w:val="1DF04981"/>
    <w:rsid w:val="1DF85193"/>
    <w:rsid w:val="1E0016FF"/>
    <w:rsid w:val="1E016972"/>
    <w:rsid w:val="1E045489"/>
    <w:rsid w:val="1E0726D6"/>
    <w:rsid w:val="1E1468A7"/>
    <w:rsid w:val="1E1736B5"/>
    <w:rsid w:val="1E192202"/>
    <w:rsid w:val="1E1C684D"/>
    <w:rsid w:val="1E3E6961"/>
    <w:rsid w:val="1E491996"/>
    <w:rsid w:val="1E4D1A80"/>
    <w:rsid w:val="1E647BF9"/>
    <w:rsid w:val="1E692DE1"/>
    <w:rsid w:val="1E6C26FD"/>
    <w:rsid w:val="1E71093C"/>
    <w:rsid w:val="1E747713"/>
    <w:rsid w:val="1E7D50BD"/>
    <w:rsid w:val="1EA05C3D"/>
    <w:rsid w:val="1EA7632C"/>
    <w:rsid w:val="1EB14271"/>
    <w:rsid w:val="1EB245AF"/>
    <w:rsid w:val="1EB7552B"/>
    <w:rsid w:val="1ECE61E4"/>
    <w:rsid w:val="1ED04D68"/>
    <w:rsid w:val="1EE00A96"/>
    <w:rsid w:val="1EED69B4"/>
    <w:rsid w:val="1EEF6586"/>
    <w:rsid w:val="1EF52782"/>
    <w:rsid w:val="1EF77102"/>
    <w:rsid w:val="1EF85464"/>
    <w:rsid w:val="1EF941B5"/>
    <w:rsid w:val="1EFB7A8C"/>
    <w:rsid w:val="1F065062"/>
    <w:rsid w:val="1F1D7739"/>
    <w:rsid w:val="1F2125B8"/>
    <w:rsid w:val="1F350D3A"/>
    <w:rsid w:val="1F355B94"/>
    <w:rsid w:val="1F445F50"/>
    <w:rsid w:val="1F453247"/>
    <w:rsid w:val="1F4E31EC"/>
    <w:rsid w:val="1F6328ED"/>
    <w:rsid w:val="1F693DE8"/>
    <w:rsid w:val="1F773888"/>
    <w:rsid w:val="1F7B4305"/>
    <w:rsid w:val="1F7E4224"/>
    <w:rsid w:val="1F867A0E"/>
    <w:rsid w:val="1F8A7E20"/>
    <w:rsid w:val="1F90192C"/>
    <w:rsid w:val="1F93389F"/>
    <w:rsid w:val="1FB87097"/>
    <w:rsid w:val="1FCC10AD"/>
    <w:rsid w:val="1FDC5368"/>
    <w:rsid w:val="1FE55570"/>
    <w:rsid w:val="1FEC0467"/>
    <w:rsid w:val="1FEC39AC"/>
    <w:rsid w:val="1FF00E13"/>
    <w:rsid w:val="1FF05211"/>
    <w:rsid w:val="1FF65830"/>
    <w:rsid w:val="1FF74C50"/>
    <w:rsid w:val="1FF812CF"/>
    <w:rsid w:val="1FFA70B6"/>
    <w:rsid w:val="20042E0B"/>
    <w:rsid w:val="2005505E"/>
    <w:rsid w:val="20113C72"/>
    <w:rsid w:val="20152802"/>
    <w:rsid w:val="201F6BB6"/>
    <w:rsid w:val="20275978"/>
    <w:rsid w:val="20376D85"/>
    <w:rsid w:val="20445954"/>
    <w:rsid w:val="20516DF0"/>
    <w:rsid w:val="205348E2"/>
    <w:rsid w:val="205A5329"/>
    <w:rsid w:val="206F55CE"/>
    <w:rsid w:val="207A2146"/>
    <w:rsid w:val="20831E1B"/>
    <w:rsid w:val="20BE75F1"/>
    <w:rsid w:val="20C06FA4"/>
    <w:rsid w:val="20C64612"/>
    <w:rsid w:val="20CE6CE8"/>
    <w:rsid w:val="20D1067F"/>
    <w:rsid w:val="20D769C8"/>
    <w:rsid w:val="20E065FD"/>
    <w:rsid w:val="20EF1312"/>
    <w:rsid w:val="20FB03B7"/>
    <w:rsid w:val="21067F44"/>
    <w:rsid w:val="21125CFD"/>
    <w:rsid w:val="2117273B"/>
    <w:rsid w:val="211F10DF"/>
    <w:rsid w:val="211F3B93"/>
    <w:rsid w:val="21212144"/>
    <w:rsid w:val="212C5CA4"/>
    <w:rsid w:val="212C7675"/>
    <w:rsid w:val="21337A65"/>
    <w:rsid w:val="213F36B1"/>
    <w:rsid w:val="21443AD1"/>
    <w:rsid w:val="214B1ADE"/>
    <w:rsid w:val="21584A5D"/>
    <w:rsid w:val="21594277"/>
    <w:rsid w:val="215A5B20"/>
    <w:rsid w:val="215F09C8"/>
    <w:rsid w:val="216067A7"/>
    <w:rsid w:val="216648A3"/>
    <w:rsid w:val="21691D6A"/>
    <w:rsid w:val="21696F10"/>
    <w:rsid w:val="217533EE"/>
    <w:rsid w:val="217700F7"/>
    <w:rsid w:val="217E3974"/>
    <w:rsid w:val="218315E0"/>
    <w:rsid w:val="21963411"/>
    <w:rsid w:val="219C4F6B"/>
    <w:rsid w:val="21A40533"/>
    <w:rsid w:val="21AC0385"/>
    <w:rsid w:val="21AE5171"/>
    <w:rsid w:val="21B44517"/>
    <w:rsid w:val="21B562E7"/>
    <w:rsid w:val="21BC1F93"/>
    <w:rsid w:val="21C05892"/>
    <w:rsid w:val="21C91007"/>
    <w:rsid w:val="21CA4659"/>
    <w:rsid w:val="21CB5DD5"/>
    <w:rsid w:val="21E049EF"/>
    <w:rsid w:val="21E24E95"/>
    <w:rsid w:val="21E35E85"/>
    <w:rsid w:val="21E9247F"/>
    <w:rsid w:val="21EE2BA5"/>
    <w:rsid w:val="21F77C63"/>
    <w:rsid w:val="22135B19"/>
    <w:rsid w:val="221E4641"/>
    <w:rsid w:val="2230796F"/>
    <w:rsid w:val="223A10AB"/>
    <w:rsid w:val="2249300F"/>
    <w:rsid w:val="2251729A"/>
    <w:rsid w:val="22545602"/>
    <w:rsid w:val="22597432"/>
    <w:rsid w:val="22756D15"/>
    <w:rsid w:val="22820585"/>
    <w:rsid w:val="22821F52"/>
    <w:rsid w:val="228542EC"/>
    <w:rsid w:val="22911593"/>
    <w:rsid w:val="22996E3E"/>
    <w:rsid w:val="229E6821"/>
    <w:rsid w:val="22A45CD9"/>
    <w:rsid w:val="22B54AE1"/>
    <w:rsid w:val="22B6097B"/>
    <w:rsid w:val="22CE1BEB"/>
    <w:rsid w:val="22D8369A"/>
    <w:rsid w:val="22ED2F4E"/>
    <w:rsid w:val="22EE4ABE"/>
    <w:rsid w:val="22F20706"/>
    <w:rsid w:val="22F31F3D"/>
    <w:rsid w:val="22FA2B77"/>
    <w:rsid w:val="22FD6B86"/>
    <w:rsid w:val="23070743"/>
    <w:rsid w:val="230B0306"/>
    <w:rsid w:val="230C43BF"/>
    <w:rsid w:val="231264F5"/>
    <w:rsid w:val="231A20B0"/>
    <w:rsid w:val="231B523C"/>
    <w:rsid w:val="231E2DC5"/>
    <w:rsid w:val="233B1158"/>
    <w:rsid w:val="23460AE3"/>
    <w:rsid w:val="23463228"/>
    <w:rsid w:val="23466BF2"/>
    <w:rsid w:val="23482D2F"/>
    <w:rsid w:val="23527579"/>
    <w:rsid w:val="23531A93"/>
    <w:rsid w:val="23571F71"/>
    <w:rsid w:val="23574361"/>
    <w:rsid w:val="2378491C"/>
    <w:rsid w:val="237A5A13"/>
    <w:rsid w:val="237E4E4C"/>
    <w:rsid w:val="2385150C"/>
    <w:rsid w:val="2386154D"/>
    <w:rsid w:val="239251C5"/>
    <w:rsid w:val="239D35C3"/>
    <w:rsid w:val="23A542C6"/>
    <w:rsid w:val="23AB3703"/>
    <w:rsid w:val="23AB5790"/>
    <w:rsid w:val="23AF6163"/>
    <w:rsid w:val="23C70017"/>
    <w:rsid w:val="23C92C21"/>
    <w:rsid w:val="23CD693D"/>
    <w:rsid w:val="23D06F42"/>
    <w:rsid w:val="23D15AD2"/>
    <w:rsid w:val="23E26007"/>
    <w:rsid w:val="23EE38D4"/>
    <w:rsid w:val="23F04631"/>
    <w:rsid w:val="23FD5C82"/>
    <w:rsid w:val="23FE6AA7"/>
    <w:rsid w:val="24015A2B"/>
    <w:rsid w:val="24042456"/>
    <w:rsid w:val="240D650F"/>
    <w:rsid w:val="241E577C"/>
    <w:rsid w:val="24247D27"/>
    <w:rsid w:val="24256F04"/>
    <w:rsid w:val="242761D3"/>
    <w:rsid w:val="2431651F"/>
    <w:rsid w:val="243A51BD"/>
    <w:rsid w:val="24560EA8"/>
    <w:rsid w:val="24566FAA"/>
    <w:rsid w:val="24580056"/>
    <w:rsid w:val="245E55B7"/>
    <w:rsid w:val="246130A6"/>
    <w:rsid w:val="24622B09"/>
    <w:rsid w:val="246310F2"/>
    <w:rsid w:val="24716501"/>
    <w:rsid w:val="247D19EF"/>
    <w:rsid w:val="247E776E"/>
    <w:rsid w:val="24861BF2"/>
    <w:rsid w:val="249312B4"/>
    <w:rsid w:val="249407BF"/>
    <w:rsid w:val="24953039"/>
    <w:rsid w:val="24BD67C3"/>
    <w:rsid w:val="24CA06E2"/>
    <w:rsid w:val="24E34376"/>
    <w:rsid w:val="24E67B45"/>
    <w:rsid w:val="24ED742A"/>
    <w:rsid w:val="250312B0"/>
    <w:rsid w:val="250C018A"/>
    <w:rsid w:val="25102626"/>
    <w:rsid w:val="251703F9"/>
    <w:rsid w:val="251A015E"/>
    <w:rsid w:val="251F5939"/>
    <w:rsid w:val="25203948"/>
    <w:rsid w:val="25294047"/>
    <w:rsid w:val="254B72EE"/>
    <w:rsid w:val="2566755A"/>
    <w:rsid w:val="256A347C"/>
    <w:rsid w:val="257A27F7"/>
    <w:rsid w:val="257F569E"/>
    <w:rsid w:val="258014AC"/>
    <w:rsid w:val="258B0E3A"/>
    <w:rsid w:val="259658F5"/>
    <w:rsid w:val="25A15C70"/>
    <w:rsid w:val="25A22E19"/>
    <w:rsid w:val="25A51430"/>
    <w:rsid w:val="25AF0517"/>
    <w:rsid w:val="25B41008"/>
    <w:rsid w:val="25BA75E9"/>
    <w:rsid w:val="25C55D46"/>
    <w:rsid w:val="25C7735C"/>
    <w:rsid w:val="25CA5B2A"/>
    <w:rsid w:val="25CD515B"/>
    <w:rsid w:val="25D01064"/>
    <w:rsid w:val="25D72677"/>
    <w:rsid w:val="25E32408"/>
    <w:rsid w:val="25EB7BDD"/>
    <w:rsid w:val="25F139E5"/>
    <w:rsid w:val="25F3060D"/>
    <w:rsid w:val="25F92B3B"/>
    <w:rsid w:val="260A2014"/>
    <w:rsid w:val="26101C69"/>
    <w:rsid w:val="261A5D6F"/>
    <w:rsid w:val="26222D28"/>
    <w:rsid w:val="262D2A62"/>
    <w:rsid w:val="26303B9B"/>
    <w:rsid w:val="26345AD1"/>
    <w:rsid w:val="26357AED"/>
    <w:rsid w:val="26382494"/>
    <w:rsid w:val="263C7502"/>
    <w:rsid w:val="26676128"/>
    <w:rsid w:val="266A1D2D"/>
    <w:rsid w:val="266A2BD0"/>
    <w:rsid w:val="266B3AE9"/>
    <w:rsid w:val="267656F0"/>
    <w:rsid w:val="26795A4B"/>
    <w:rsid w:val="267E38AC"/>
    <w:rsid w:val="267F04C7"/>
    <w:rsid w:val="26804DEA"/>
    <w:rsid w:val="26840A06"/>
    <w:rsid w:val="268B4B3E"/>
    <w:rsid w:val="269301AE"/>
    <w:rsid w:val="26931BCD"/>
    <w:rsid w:val="269E34ED"/>
    <w:rsid w:val="26B76AD7"/>
    <w:rsid w:val="26C13312"/>
    <w:rsid w:val="26C71BFC"/>
    <w:rsid w:val="26CB6804"/>
    <w:rsid w:val="26D30A3F"/>
    <w:rsid w:val="26D319F3"/>
    <w:rsid w:val="26DA1542"/>
    <w:rsid w:val="26DB7476"/>
    <w:rsid w:val="26DF6736"/>
    <w:rsid w:val="26E4313F"/>
    <w:rsid w:val="26EB090A"/>
    <w:rsid w:val="26F32C57"/>
    <w:rsid w:val="27040CCC"/>
    <w:rsid w:val="2710307D"/>
    <w:rsid w:val="27126C91"/>
    <w:rsid w:val="271A4E51"/>
    <w:rsid w:val="27210E29"/>
    <w:rsid w:val="27241EA8"/>
    <w:rsid w:val="272726F1"/>
    <w:rsid w:val="273557BE"/>
    <w:rsid w:val="273B690D"/>
    <w:rsid w:val="273D173E"/>
    <w:rsid w:val="27447331"/>
    <w:rsid w:val="27494E17"/>
    <w:rsid w:val="274F6B98"/>
    <w:rsid w:val="27565C9F"/>
    <w:rsid w:val="276844BF"/>
    <w:rsid w:val="2771066F"/>
    <w:rsid w:val="277B09B5"/>
    <w:rsid w:val="278A07CC"/>
    <w:rsid w:val="278E4B90"/>
    <w:rsid w:val="278F50DD"/>
    <w:rsid w:val="27986070"/>
    <w:rsid w:val="279D7B9A"/>
    <w:rsid w:val="27A46281"/>
    <w:rsid w:val="27AE2F95"/>
    <w:rsid w:val="27B00684"/>
    <w:rsid w:val="27B018D6"/>
    <w:rsid w:val="27BD28D7"/>
    <w:rsid w:val="27CD5B35"/>
    <w:rsid w:val="27D91C6F"/>
    <w:rsid w:val="27DA0195"/>
    <w:rsid w:val="27F2473F"/>
    <w:rsid w:val="2812014B"/>
    <w:rsid w:val="281C1E36"/>
    <w:rsid w:val="281C4D50"/>
    <w:rsid w:val="28344588"/>
    <w:rsid w:val="28357044"/>
    <w:rsid w:val="28427F94"/>
    <w:rsid w:val="284566E9"/>
    <w:rsid w:val="2847165C"/>
    <w:rsid w:val="28473DE8"/>
    <w:rsid w:val="28553273"/>
    <w:rsid w:val="28573490"/>
    <w:rsid w:val="285D7187"/>
    <w:rsid w:val="28617B9D"/>
    <w:rsid w:val="286809D6"/>
    <w:rsid w:val="286878FB"/>
    <w:rsid w:val="286E362F"/>
    <w:rsid w:val="28741280"/>
    <w:rsid w:val="2878377B"/>
    <w:rsid w:val="2888248B"/>
    <w:rsid w:val="288B610C"/>
    <w:rsid w:val="28A55150"/>
    <w:rsid w:val="28A82E7B"/>
    <w:rsid w:val="28AE452D"/>
    <w:rsid w:val="28B23799"/>
    <w:rsid w:val="28B57581"/>
    <w:rsid w:val="28C27453"/>
    <w:rsid w:val="28CB4D17"/>
    <w:rsid w:val="28D0541E"/>
    <w:rsid w:val="28E501A9"/>
    <w:rsid w:val="28E62607"/>
    <w:rsid w:val="28FC6F70"/>
    <w:rsid w:val="2902652E"/>
    <w:rsid w:val="290B2388"/>
    <w:rsid w:val="290B7EFE"/>
    <w:rsid w:val="2918456B"/>
    <w:rsid w:val="29190719"/>
    <w:rsid w:val="292D0679"/>
    <w:rsid w:val="293C338D"/>
    <w:rsid w:val="294C4783"/>
    <w:rsid w:val="29510779"/>
    <w:rsid w:val="295A6E74"/>
    <w:rsid w:val="295D36F2"/>
    <w:rsid w:val="296066F3"/>
    <w:rsid w:val="29663015"/>
    <w:rsid w:val="296C1D69"/>
    <w:rsid w:val="297602A2"/>
    <w:rsid w:val="297A486B"/>
    <w:rsid w:val="298C60DE"/>
    <w:rsid w:val="29967B30"/>
    <w:rsid w:val="29B032D7"/>
    <w:rsid w:val="29B60F86"/>
    <w:rsid w:val="29CC0B88"/>
    <w:rsid w:val="29E452E9"/>
    <w:rsid w:val="29EF1C62"/>
    <w:rsid w:val="29F07A56"/>
    <w:rsid w:val="2A010D17"/>
    <w:rsid w:val="2A072BCC"/>
    <w:rsid w:val="2A0D3B94"/>
    <w:rsid w:val="2A10137B"/>
    <w:rsid w:val="2A11774B"/>
    <w:rsid w:val="2A152AA1"/>
    <w:rsid w:val="2A164DB0"/>
    <w:rsid w:val="2A1768EA"/>
    <w:rsid w:val="2A2854EC"/>
    <w:rsid w:val="2A2F70B2"/>
    <w:rsid w:val="2A3130BB"/>
    <w:rsid w:val="2A3943AD"/>
    <w:rsid w:val="2A413308"/>
    <w:rsid w:val="2A42447C"/>
    <w:rsid w:val="2A425FDC"/>
    <w:rsid w:val="2A4B17D7"/>
    <w:rsid w:val="2A5D0B39"/>
    <w:rsid w:val="2A67008B"/>
    <w:rsid w:val="2A715B28"/>
    <w:rsid w:val="2A747E02"/>
    <w:rsid w:val="2A7D1740"/>
    <w:rsid w:val="2A943A22"/>
    <w:rsid w:val="2AA24456"/>
    <w:rsid w:val="2AAA4B27"/>
    <w:rsid w:val="2AB065A3"/>
    <w:rsid w:val="2AB645BF"/>
    <w:rsid w:val="2ABA09EC"/>
    <w:rsid w:val="2ABB3E92"/>
    <w:rsid w:val="2AC50E6C"/>
    <w:rsid w:val="2AC77E75"/>
    <w:rsid w:val="2ACB5257"/>
    <w:rsid w:val="2AD85978"/>
    <w:rsid w:val="2AE21B8B"/>
    <w:rsid w:val="2AEB610E"/>
    <w:rsid w:val="2AEE2793"/>
    <w:rsid w:val="2AF37955"/>
    <w:rsid w:val="2B086E4C"/>
    <w:rsid w:val="2B1E4A44"/>
    <w:rsid w:val="2B2F405A"/>
    <w:rsid w:val="2B441691"/>
    <w:rsid w:val="2B5A525D"/>
    <w:rsid w:val="2B5F4E8A"/>
    <w:rsid w:val="2B677F11"/>
    <w:rsid w:val="2B6E33EC"/>
    <w:rsid w:val="2B71533E"/>
    <w:rsid w:val="2B78128E"/>
    <w:rsid w:val="2B926C83"/>
    <w:rsid w:val="2B964ACE"/>
    <w:rsid w:val="2BA16A25"/>
    <w:rsid w:val="2BA27C18"/>
    <w:rsid w:val="2BA376DC"/>
    <w:rsid w:val="2BAA50C9"/>
    <w:rsid w:val="2BAC0E8B"/>
    <w:rsid w:val="2BBE70D6"/>
    <w:rsid w:val="2BC55A8E"/>
    <w:rsid w:val="2BC752F7"/>
    <w:rsid w:val="2BD04FE3"/>
    <w:rsid w:val="2BDB2367"/>
    <w:rsid w:val="2BEE4ECB"/>
    <w:rsid w:val="2BF41278"/>
    <w:rsid w:val="2BF637C2"/>
    <w:rsid w:val="2BF970A9"/>
    <w:rsid w:val="2BFF47C0"/>
    <w:rsid w:val="2C000E8F"/>
    <w:rsid w:val="2C06373F"/>
    <w:rsid w:val="2C0A5890"/>
    <w:rsid w:val="2C0B3909"/>
    <w:rsid w:val="2C174F26"/>
    <w:rsid w:val="2C1A1741"/>
    <w:rsid w:val="2C1E2420"/>
    <w:rsid w:val="2C1F354C"/>
    <w:rsid w:val="2C224D44"/>
    <w:rsid w:val="2C2515BF"/>
    <w:rsid w:val="2C270610"/>
    <w:rsid w:val="2C2E42BF"/>
    <w:rsid w:val="2C336F06"/>
    <w:rsid w:val="2C343CEC"/>
    <w:rsid w:val="2C3606F4"/>
    <w:rsid w:val="2C3B7E59"/>
    <w:rsid w:val="2C4D1496"/>
    <w:rsid w:val="2C5C10D5"/>
    <w:rsid w:val="2C5F3A1F"/>
    <w:rsid w:val="2C60204F"/>
    <w:rsid w:val="2C6179BC"/>
    <w:rsid w:val="2C633603"/>
    <w:rsid w:val="2C6C68D2"/>
    <w:rsid w:val="2C761C68"/>
    <w:rsid w:val="2C850682"/>
    <w:rsid w:val="2C850D2B"/>
    <w:rsid w:val="2C876CBD"/>
    <w:rsid w:val="2C89364C"/>
    <w:rsid w:val="2C8D37E0"/>
    <w:rsid w:val="2C934BD3"/>
    <w:rsid w:val="2C945FC1"/>
    <w:rsid w:val="2CA15023"/>
    <w:rsid w:val="2CAA050F"/>
    <w:rsid w:val="2CAD5368"/>
    <w:rsid w:val="2CB71A9C"/>
    <w:rsid w:val="2CB906E5"/>
    <w:rsid w:val="2CCB518F"/>
    <w:rsid w:val="2CCF3DD2"/>
    <w:rsid w:val="2CF03980"/>
    <w:rsid w:val="2CF76C46"/>
    <w:rsid w:val="2CF76CAB"/>
    <w:rsid w:val="2CFA2CD8"/>
    <w:rsid w:val="2CFD1FB2"/>
    <w:rsid w:val="2D074416"/>
    <w:rsid w:val="2D0A6B65"/>
    <w:rsid w:val="2D0B5176"/>
    <w:rsid w:val="2D0F4034"/>
    <w:rsid w:val="2D1E6AEC"/>
    <w:rsid w:val="2D25236D"/>
    <w:rsid w:val="2D305642"/>
    <w:rsid w:val="2D32515E"/>
    <w:rsid w:val="2D3523C7"/>
    <w:rsid w:val="2D3A0E78"/>
    <w:rsid w:val="2D3E2B1D"/>
    <w:rsid w:val="2D706632"/>
    <w:rsid w:val="2D724563"/>
    <w:rsid w:val="2D7254BD"/>
    <w:rsid w:val="2D82394C"/>
    <w:rsid w:val="2D827813"/>
    <w:rsid w:val="2D8F110B"/>
    <w:rsid w:val="2D914389"/>
    <w:rsid w:val="2D9E1B82"/>
    <w:rsid w:val="2DA55784"/>
    <w:rsid w:val="2DAC027C"/>
    <w:rsid w:val="2DB75278"/>
    <w:rsid w:val="2DBA79FD"/>
    <w:rsid w:val="2DBB0D39"/>
    <w:rsid w:val="2DBB322E"/>
    <w:rsid w:val="2DBC4E0C"/>
    <w:rsid w:val="2DDF28A1"/>
    <w:rsid w:val="2DE43C43"/>
    <w:rsid w:val="2DE4597B"/>
    <w:rsid w:val="2DE8207A"/>
    <w:rsid w:val="2DF24CC8"/>
    <w:rsid w:val="2DF74540"/>
    <w:rsid w:val="2DFC5BB7"/>
    <w:rsid w:val="2E0C6629"/>
    <w:rsid w:val="2E0E0260"/>
    <w:rsid w:val="2E18600A"/>
    <w:rsid w:val="2E196345"/>
    <w:rsid w:val="2E2B1802"/>
    <w:rsid w:val="2E3532C9"/>
    <w:rsid w:val="2E357644"/>
    <w:rsid w:val="2E403413"/>
    <w:rsid w:val="2E4375D6"/>
    <w:rsid w:val="2E463D05"/>
    <w:rsid w:val="2E5548A5"/>
    <w:rsid w:val="2E5F5E38"/>
    <w:rsid w:val="2E6923E5"/>
    <w:rsid w:val="2E88282E"/>
    <w:rsid w:val="2E8D7F93"/>
    <w:rsid w:val="2E8E7EB5"/>
    <w:rsid w:val="2E9859C4"/>
    <w:rsid w:val="2EA847DF"/>
    <w:rsid w:val="2EAA34A0"/>
    <w:rsid w:val="2EB54141"/>
    <w:rsid w:val="2EBA3E94"/>
    <w:rsid w:val="2EC72ACD"/>
    <w:rsid w:val="2EC8264A"/>
    <w:rsid w:val="2EC96FAB"/>
    <w:rsid w:val="2ECF38EE"/>
    <w:rsid w:val="2ED7770C"/>
    <w:rsid w:val="2EDD31BD"/>
    <w:rsid w:val="2EE20055"/>
    <w:rsid w:val="2EF85C97"/>
    <w:rsid w:val="2F0D2F9B"/>
    <w:rsid w:val="2F0D50D9"/>
    <w:rsid w:val="2F201FD8"/>
    <w:rsid w:val="2F31566A"/>
    <w:rsid w:val="2F350700"/>
    <w:rsid w:val="2F3D08A1"/>
    <w:rsid w:val="2F3D0CA4"/>
    <w:rsid w:val="2F426895"/>
    <w:rsid w:val="2F43593D"/>
    <w:rsid w:val="2F443E7A"/>
    <w:rsid w:val="2F4E5CC2"/>
    <w:rsid w:val="2F5436E3"/>
    <w:rsid w:val="2F5C5963"/>
    <w:rsid w:val="2F696D2D"/>
    <w:rsid w:val="2F6A6557"/>
    <w:rsid w:val="2F70310E"/>
    <w:rsid w:val="2F704507"/>
    <w:rsid w:val="2F7A61AC"/>
    <w:rsid w:val="2F82570B"/>
    <w:rsid w:val="2F904BF2"/>
    <w:rsid w:val="2F93778A"/>
    <w:rsid w:val="2F9B7248"/>
    <w:rsid w:val="2F9D3AF0"/>
    <w:rsid w:val="2FB94234"/>
    <w:rsid w:val="2FBA1A87"/>
    <w:rsid w:val="2FBE76BE"/>
    <w:rsid w:val="2FC53B3B"/>
    <w:rsid w:val="2FCA0182"/>
    <w:rsid w:val="2FF67351"/>
    <w:rsid w:val="300E0FE1"/>
    <w:rsid w:val="301852AC"/>
    <w:rsid w:val="301E574F"/>
    <w:rsid w:val="302A1F69"/>
    <w:rsid w:val="30307140"/>
    <w:rsid w:val="30405F1B"/>
    <w:rsid w:val="30432E7B"/>
    <w:rsid w:val="30442192"/>
    <w:rsid w:val="304456DA"/>
    <w:rsid w:val="30474310"/>
    <w:rsid w:val="30767B94"/>
    <w:rsid w:val="30884FD3"/>
    <w:rsid w:val="308F40E3"/>
    <w:rsid w:val="30A84A7C"/>
    <w:rsid w:val="30B6604E"/>
    <w:rsid w:val="30B8772F"/>
    <w:rsid w:val="30C067C1"/>
    <w:rsid w:val="30C517CA"/>
    <w:rsid w:val="30C63D12"/>
    <w:rsid w:val="30CA2F25"/>
    <w:rsid w:val="30CE1A0B"/>
    <w:rsid w:val="30D22160"/>
    <w:rsid w:val="30D60FF6"/>
    <w:rsid w:val="30D8433F"/>
    <w:rsid w:val="30DE1455"/>
    <w:rsid w:val="30E319A9"/>
    <w:rsid w:val="30F03B65"/>
    <w:rsid w:val="30F65C00"/>
    <w:rsid w:val="310F461D"/>
    <w:rsid w:val="311023F7"/>
    <w:rsid w:val="31167888"/>
    <w:rsid w:val="311F0078"/>
    <w:rsid w:val="312A6F17"/>
    <w:rsid w:val="313805CE"/>
    <w:rsid w:val="313F0A68"/>
    <w:rsid w:val="315A0C9A"/>
    <w:rsid w:val="316133B1"/>
    <w:rsid w:val="31643BC8"/>
    <w:rsid w:val="316B3EAB"/>
    <w:rsid w:val="317C584E"/>
    <w:rsid w:val="317D624D"/>
    <w:rsid w:val="31800DA4"/>
    <w:rsid w:val="319D0EFD"/>
    <w:rsid w:val="31A1406A"/>
    <w:rsid w:val="31A37274"/>
    <w:rsid w:val="31AA5068"/>
    <w:rsid w:val="31AF532D"/>
    <w:rsid w:val="31CA1784"/>
    <w:rsid w:val="31CE11B2"/>
    <w:rsid w:val="31D66EFC"/>
    <w:rsid w:val="31D811EA"/>
    <w:rsid w:val="31D85D0A"/>
    <w:rsid w:val="31EF00BA"/>
    <w:rsid w:val="31F14394"/>
    <w:rsid w:val="31FF4DC9"/>
    <w:rsid w:val="32040655"/>
    <w:rsid w:val="32092B66"/>
    <w:rsid w:val="321479FC"/>
    <w:rsid w:val="32153C2A"/>
    <w:rsid w:val="321D1828"/>
    <w:rsid w:val="32390089"/>
    <w:rsid w:val="323E34E6"/>
    <w:rsid w:val="324119E2"/>
    <w:rsid w:val="32437159"/>
    <w:rsid w:val="325C7B7A"/>
    <w:rsid w:val="32635711"/>
    <w:rsid w:val="326D1CB3"/>
    <w:rsid w:val="328D2B69"/>
    <w:rsid w:val="32992AB6"/>
    <w:rsid w:val="32A71CE9"/>
    <w:rsid w:val="32A9749A"/>
    <w:rsid w:val="32AB608F"/>
    <w:rsid w:val="32B91399"/>
    <w:rsid w:val="32BA0C0A"/>
    <w:rsid w:val="32BF13D0"/>
    <w:rsid w:val="32C73F46"/>
    <w:rsid w:val="32E43650"/>
    <w:rsid w:val="32E6271C"/>
    <w:rsid w:val="32EF5ABC"/>
    <w:rsid w:val="32F05B3A"/>
    <w:rsid w:val="32F57AE4"/>
    <w:rsid w:val="32F86E16"/>
    <w:rsid w:val="330051AD"/>
    <w:rsid w:val="33017A7A"/>
    <w:rsid w:val="3308018D"/>
    <w:rsid w:val="33114FF1"/>
    <w:rsid w:val="332723E5"/>
    <w:rsid w:val="33274EAD"/>
    <w:rsid w:val="33390A36"/>
    <w:rsid w:val="33396C6A"/>
    <w:rsid w:val="33454950"/>
    <w:rsid w:val="334D5F81"/>
    <w:rsid w:val="334F75F4"/>
    <w:rsid w:val="336A3986"/>
    <w:rsid w:val="337B5ABE"/>
    <w:rsid w:val="337E6B77"/>
    <w:rsid w:val="3395328D"/>
    <w:rsid w:val="33A87A84"/>
    <w:rsid w:val="33C81479"/>
    <w:rsid w:val="33E47529"/>
    <w:rsid w:val="33E704AD"/>
    <w:rsid w:val="33EA4B52"/>
    <w:rsid w:val="33FE2871"/>
    <w:rsid w:val="33FE4C18"/>
    <w:rsid w:val="341435D5"/>
    <w:rsid w:val="34153802"/>
    <w:rsid w:val="34184FEB"/>
    <w:rsid w:val="3423081F"/>
    <w:rsid w:val="342351F1"/>
    <w:rsid w:val="342417CB"/>
    <w:rsid w:val="344027C4"/>
    <w:rsid w:val="34513149"/>
    <w:rsid w:val="34513F10"/>
    <w:rsid w:val="34521E5C"/>
    <w:rsid w:val="345D644B"/>
    <w:rsid w:val="346C4EA4"/>
    <w:rsid w:val="347B5C76"/>
    <w:rsid w:val="347E47FE"/>
    <w:rsid w:val="348026E7"/>
    <w:rsid w:val="34825A83"/>
    <w:rsid w:val="34850B6C"/>
    <w:rsid w:val="34874311"/>
    <w:rsid w:val="34967016"/>
    <w:rsid w:val="34985D63"/>
    <w:rsid w:val="34A452BE"/>
    <w:rsid w:val="34AC4012"/>
    <w:rsid w:val="34B02503"/>
    <w:rsid w:val="34B275D2"/>
    <w:rsid w:val="34B9103E"/>
    <w:rsid w:val="34B966FD"/>
    <w:rsid w:val="34C52B7A"/>
    <w:rsid w:val="34DC1739"/>
    <w:rsid w:val="34F550B8"/>
    <w:rsid w:val="3512788A"/>
    <w:rsid w:val="351573BC"/>
    <w:rsid w:val="352D24BB"/>
    <w:rsid w:val="35390D9C"/>
    <w:rsid w:val="3543093C"/>
    <w:rsid w:val="35453479"/>
    <w:rsid w:val="354B1DF0"/>
    <w:rsid w:val="355B3679"/>
    <w:rsid w:val="355D6FDC"/>
    <w:rsid w:val="35600547"/>
    <w:rsid w:val="35635491"/>
    <w:rsid w:val="35637F08"/>
    <w:rsid w:val="356F1C97"/>
    <w:rsid w:val="3575773C"/>
    <w:rsid w:val="3578493D"/>
    <w:rsid w:val="357916CA"/>
    <w:rsid w:val="358D22B4"/>
    <w:rsid w:val="35980DF9"/>
    <w:rsid w:val="3599113E"/>
    <w:rsid w:val="359D6138"/>
    <w:rsid w:val="359E2088"/>
    <w:rsid w:val="35A4009C"/>
    <w:rsid w:val="35A81B7F"/>
    <w:rsid w:val="35B54C02"/>
    <w:rsid w:val="35BB4A75"/>
    <w:rsid w:val="35C64229"/>
    <w:rsid w:val="35C82E3C"/>
    <w:rsid w:val="35D354C7"/>
    <w:rsid w:val="35DC1028"/>
    <w:rsid w:val="35ED4AB8"/>
    <w:rsid w:val="35F32BCF"/>
    <w:rsid w:val="35F41DAF"/>
    <w:rsid w:val="35F4738C"/>
    <w:rsid w:val="35FF2EBE"/>
    <w:rsid w:val="36035F4F"/>
    <w:rsid w:val="36036B3E"/>
    <w:rsid w:val="36051710"/>
    <w:rsid w:val="360E3237"/>
    <w:rsid w:val="361218E3"/>
    <w:rsid w:val="36151507"/>
    <w:rsid w:val="36166285"/>
    <w:rsid w:val="36187DBA"/>
    <w:rsid w:val="362511BB"/>
    <w:rsid w:val="362D3CA1"/>
    <w:rsid w:val="363856B9"/>
    <w:rsid w:val="36401A07"/>
    <w:rsid w:val="364277A5"/>
    <w:rsid w:val="36463282"/>
    <w:rsid w:val="364A4122"/>
    <w:rsid w:val="364E4B56"/>
    <w:rsid w:val="36525A8C"/>
    <w:rsid w:val="365F5942"/>
    <w:rsid w:val="3663000A"/>
    <w:rsid w:val="366661CB"/>
    <w:rsid w:val="366E354B"/>
    <w:rsid w:val="36702175"/>
    <w:rsid w:val="36781CB0"/>
    <w:rsid w:val="3687624C"/>
    <w:rsid w:val="36891D4D"/>
    <w:rsid w:val="368F733D"/>
    <w:rsid w:val="369A0290"/>
    <w:rsid w:val="36A94194"/>
    <w:rsid w:val="36AF2EB1"/>
    <w:rsid w:val="36AF5735"/>
    <w:rsid w:val="36C1622A"/>
    <w:rsid w:val="36C90479"/>
    <w:rsid w:val="36DC46E4"/>
    <w:rsid w:val="36E33B8E"/>
    <w:rsid w:val="36E85DD9"/>
    <w:rsid w:val="36E86452"/>
    <w:rsid w:val="36FF50D7"/>
    <w:rsid w:val="37070455"/>
    <w:rsid w:val="370B38DB"/>
    <w:rsid w:val="370E7DC8"/>
    <w:rsid w:val="371643A6"/>
    <w:rsid w:val="372B0368"/>
    <w:rsid w:val="374E2BA8"/>
    <w:rsid w:val="375261C5"/>
    <w:rsid w:val="37571209"/>
    <w:rsid w:val="37584224"/>
    <w:rsid w:val="375E64F0"/>
    <w:rsid w:val="376315D0"/>
    <w:rsid w:val="37641B71"/>
    <w:rsid w:val="37646CB9"/>
    <w:rsid w:val="3766317C"/>
    <w:rsid w:val="377E0B77"/>
    <w:rsid w:val="378750EF"/>
    <w:rsid w:val="37C214CE"/>
    <w:rsid w:val="37C879C2"/>
    <w:rsid w:val="37CC7D94"/>
    <w:rsid w:val="37CE4405"/>
    <w:rsid w:val="37CF317D"/>
    <w:rsid w:val="37CF4935"/>
    <w:rsid w:val="37E24C1C"/>
    <w:rsid w:val="37E85E6A"/>
    <w:rsid w:val="37E94EEA"/>
    <w:rsid w:val="37EB148D"/>
    <w:rsid w:val="37EE0639"/>
    <w:rsid w:val="37EF398B"/>
    <w:rsid w:val="37FD0EF1"/>
    <w:rsid w:val="38034400"/>
    <w:rsid w:val="380B3202"/>
    <w:rsid w:val="380D268D"/>
    <w:rsid w:val="380F10E8"/>
    <w:rsid w:val="38127BB4"/>
    <w:rsid w:val="38141937"/>
    <w:rsid w:val="3815643E"/>
    <w:rsid w:val="381D1790"/>
    <w:rsid w:val="38231B9C"/>
    <w:rsid w:val="38256756"/>
    <w:rsid w:val="383A21FD"/>
    <w:rsid w:val="383A6EC3"/>
    <w:rsid w:val="38414B37"/>
    <w:rsid w:val="3849292B"/>
    <w:rsid w:val="3850449D"/>
    <w:rsid w:val="385E4468"/>
    <w:rsid w:val="386D13E6"/>
    <w:rsid w:val="38752E0D"/>
    <w:rsid w:val="38815A12"/>
    <w:rsid w:val="38856C9E"/>
    <w:rsid w:val="388716FF"/>
    <w:rsid w:val="388A3A2B"/>
    <w:rsid w:val="388A6682"/>
    <w:rsid w:val="389E3550"/>
    <w:rsid w:val="38A64F73"/>
    <w:rsid w:val="38A93FAC"/>
    <w:rsid w:val="38BD689C"/>
    <w:rsid w:val="38C456F3"/>
    <w:rsid w:val="38C516DC"/>
    <w:rsid w:val="38CC1B03"/>
    <w:rsid w:val="38CC1DCB"/>
    <w:rsid w:val="38D70BF2"/>
    <w:rsid w:val="38D72E5D"/>
    <w:rsid w:val="38D82FC5"/>
    <w:rsid w:val="38EC72EF"/>
    <w:rsid w:val="38EF2FB7"/>
    <w:rsid w:val="38EF7060"/>
    <w:rsid w:val="38F454E5"/>
    <w:rsid w:val="38F8456E"/>
    <w:rsid w:val="39131A45"/>
    <w:rsid w:val="39187A68"/>
    <w:rsid w:val="391B290C"/>
    <w:rsid w:val="391B2F04"/>
    <w:rsid w:val="391D5920"/>
    <w:rsid w:val="39217664"/>
    <w:rsid w:val="392434DC"/>
    <w:rsid w:val="393E568A"/>
    <w:rsid w:val="393E5D1F"/>
    <w:rsid w:val="394A3FB3"/>
    <w:rsid w:val="395157F3"/>
    <w:rsid w:val="395553A9"/>
    <w:rsid w:val="39661BCB"/>
    <w:rsid w:val="397D3CB6"/>
    <w:rsid w:val="39820136"/>
    <w:rsid w:val="398F41D2"/>
    <w:rsid w:val="399259D9"/>
    <w:rsid w:val="39A03A02"/>
    <w:rsid w:val="39AE1274"/>
    <w:rsid w:val="39BA3701"/>
    <w:rsid w:val="39C774FE"/>
    <w:rsid w:val="39C934F7"/>
    <w:rsid w:val="39D24749"/>
    <w:rsid w:val="39D41D3E"/>
    <w:rsid w:val="39D56673"/>
    <w:rsid w:val="39DE60A2"/>
    <w:rsid w:val="39DE7C9A"/>
    <w:rsid w:val="39E97338"/>
    <w:rsid w:val="39F0728A"/>
    <w:rsid w:val="39F3691E"/>
    <w:rsid w:val="39F57983"/>
    <w:rsid w:val="39F87713"/>
    <w:rsid w:val="39FC2C42"/>
    <w:rsid w:val="3A057A12"/>
    <w:rsid w:val="3A0C0DF8"/>
    <w:rsid w:val="3A15081E"/>
    <w:rsid w:val="3A192D6D"/>
    <w:rsid w:val="3A297F26"/>
    <w:rsid w:val="3A2F0BF4"/>
    <w:rsid w:val="3A382CA5"/>
    <w:rsid w:val="3A39308E"/>
    <w:rsid w:val="3A4204D3"/>
    <w:rsid w:val="3A560111"/>
    <w:rsid w:val="3A58452D"/>
    <w:rsid w:val="3A5A471F"/>
    <w:rsid w:val="3A5E0F7D"/>
    <w:rsid w:val="3A6B51BC"/>
    <w:rsid w:val="3A6C0C9C"/>
    <w:rsid w:val="3A7B476A"/>
    <w:rsid w:val="3A8310A6"/>
    <w:rsid w:val="3A8316D0"/>
    <w:rsid w:val="3A895E62"/>
    <w:rsid w:val="3A8968E7"/>
    <w:rsid w:val="3A923651"/>
    <w:rsid w:val="3A946221"/>
    <w:rsid w:val="3A980608"/>
    <w:rsid w:val="3A9E1AC4"/>
    <w:rsid w:val="3AA06C37"/>
    <w:rsid w:val="3AA34118"/>
    <w:rsid w:val="3AA65D3D"/>
    <w:rsid w:val="3AB36DDC"/>
    <w:rsid w:val="3ABB75FE"/>
    <w:rsid w:val="3AC17188"/>
    <w:rsid w:val="3AC46436"/>
    <w:rsid w:val="3AC624F3"/>
    <w:rsid w:val="3AC645A7"/>
    <w:rsid w:val="3AE46DEF"/>
    <w:rsid w:val="3AE76AD8"/>
    <w:rsid w:val="3B04719A"/>
    <w:rsid w:val="3B07158A"/>
    <w:rsid w:val="3B1326E6"/>
    <w:rsid w:val="3B194667"/>
    <w:rsid w:val="3B1B2FFD"/>
    <w:rsid w:val="3B2A7671"/>
    <w:rsid w:val="3B2E1421"/>
    <w:rsid w:val="3B38743B"/>
    <w:rsid w:val="3B390EAA"/>
    <w:rsid w:val="3B4A2637"/>
    <w:rsid w:val="3B4C0AA2"/>
    <w:rsid w:val="3B4F13B8"/>
    <w:rsid w:val="3B503C09"/>
    <w:rsid w:val="3B565A03"/>
    <w:rsid w:val="3B5B77D1"/>
    <w:rsid w:val="3B622D62"/>
    <w:rsid w:val="3B667283"/>
    <w:rsid w:val="3B695D55"/>
    <w:rsid w:val="3B72703A"/>
    <w:rsid w:val="3B73538F"/>
    <w:rsid w:val="3B77503C"/>
    <w:rsid w:val="3B7D0149"/>
    <w:rsid w:val="3B88557D"/>
    <w:rsid w:val="3B893322"/>
    <w:rsid w:val="3B8A3C14"/>
    <w:rsid w:val="3B8B408C"/>
    <w:rsid w:val="3B914488"/>
    <w:rsid w:val="3B936C9A"/>
    <w:rsid w:val="3B9619A5"/>
    <w:rsid w:val="3B9F7E37"/>
    <w:rsid w:val="3BA22D0F"/>
    <w:rsid w:val="3BA47E17"/>
    <w:rsid w:val="3BA52179"/>
    <w:rsid w:val="3BAA54EA"/>
    <w:rsid w:val="3BB35F30"/>
    <w:rsid w:val="3BBA2C79"/>
    <w:rsid w:val="3BBE182F"/>
    <w:rsid w:val="3BC751E0"/>
    <w:rsid w:val="3BED12A3"/>
    <w:rsid w:val="3BF33DAD"/>
    <w:rsid w:val="3BF9084E"/>
    <w:rsid w:val="3C0E092E"/>
    <w:rsid w:val="3C0F5965"/>
    <w:rsid w:val="3C115676"/>
    <w:rsid w:val="3C1D57A7"/>
    <w:rsid w:val="3C245F90"/>
    <w:rsid w:val="3C311BE9"/>
    <w:rsid w:val="3C333511"/>
    <w:rsid w:val="3C333D63"/>
    <w:rsid w:val="3C3835BB"/>
    <w:rsid w:val="3C3C0807"/>
    <w:rsid w:val="3C40639B"/>
    <w:rsid w:val="3C420026"/>
    <w:rsid w:val="3C440D96"/>
    <w:rsid w:val="3C452D0F"/>
    <w:rsid w:val="3C47524B"/>
    <w:rsid w:val="3C476A06"/>
    <w:rsid w:val="3C482815"/>
    <w:rsid w:val="3C4B25B3"/>
    <w:rsid w:val="3C53787D"/>
    <w:rsid w:val="3C6068C3"/>
    <w:rsid w:val="3C6D3934"/>
    <w:rsid w:val="3C774941"/>
    <w:rsid w:val="3C787445"/>
    <w:rsid w:val="3C796548"/>
    <w:rsid w:val="3C7D7316"/>
    <w:rsid w:val="3C8D6693"/>
    <w:rsid w:val="3C8D6EF1"/>
    <w:rsid w:val="3C8E496F"/>
    <w:rsid w:val="3CA74629"/>
    <w:rsid w:val="3CAE6648"/>
    <w:rsid w:val="3CB93C9E"/>
    <w:rsid w:val="3CBA3C97"/>
    <w:rsid w:val="3CBC5E2A"/>
    <w:rsid w:val="3CC03085"/>
    <w:rsid w:val="3CCA47FF"/>
    <w:rsid w:val="3CCF6C04"/>
    <w:rsid w:val="3CD35722"/>
    <w:rsid w:val="3CDF318F"/>
    <w:rsid w:val="3CE11D8E"/>
    <w:rsid w:val="3CE84DCB"/>
    <w:rsid w:val="3CF14A91"/>
    <w:rsid w:val="3D0405E8"/>
    <w:rsid w:val="3D09558A"/>
    <w:rsid w:val="3D0F3B3B"/>
    <w:rsid w:val="3D120346"/>
    <w:rsid w:val="3D204521"/>
    <w:rsid w:val="3D2B4F24"/>
    <w:rsid w:val="3D355045"/>
    <w:rsid w:val="3D3C766D"/>
    <w:rsid w:val="3D616850"/>
    <w:rsid w:val="3D620474"/>
    <w:rsid w:val="3D654C16"/>
    <w:rsid w:val="3D6765A1"/>
    <w:rsid w:val="3D6D28B8"/>
    <w:rsid w:val="3D786C71"/>
    <w:rsid w:val="3D83567A"/>
    <w:rsid w:val="3D870673"/>
    <w:rsid w:val="3D875490"/>
    <w:rsid w:val="3D987BEE"/>
    <w:rsid w:val="3D9C7195"/>
    <w:rsid w:val="3D9E4B3E"/>
    <w:rsid w:val="3DA40698"/>
    <w:rsid w:val="3DB64709"/>
    <w:rsid w:val="3DC62718"/>
    <w:rsid w:val="3DC8174D"/>
    <w:rsid w:val="3DD407C7"/>
    <w:rsid w:val="3DE143B6"/>
    <w:rsid w:val="3DE6417C"/>
    <w:rsid w:val="3E040C50"/>
    <w:rsid w:val="3E056049"/>
    <w:rsid w:val="3E071DFE"/>
    <w:rsid w:val="3E1364C8"/>
    <w:rsid w:val="3E1D63C5"/>
    <w:rsid w:val="3E240A67"/>
    <w:rsid w:val="3E28333B"/>
    <w:rsid w:val="3E296574"/>
    <w:rsid w:val="3E2B54A4"/>
    <w:rsid w:val="3E2C2F3D"/>
    <w:rsid w:val="3E337CFC"/>
    <w:rsid w:val="3E3C2931"/>
    <w:rsid w:val="3E4210EA"/>
    <w:rsid w:val="3E421AC2"/>
    <w:rsid w:val="3E59683A"/>
    <w:rsid w:val="3E5A1A95"/>
    <w:rsid w:val="3E5C3BF4"/>
    <w:rsid w:val="3E5E05CC"/>
    <w:rsid w:val="3E62405D"/>
    <w:rsid w:val="3E652FC0"/>
    <w:rsid w:val="3E653409"/>
    <w:rsid w:val="3E681853"/>
    <w:rsid w:val="3E6950BE"/>
    <w:rsid w:val="3E6D3E9A"/>
    <w:rsid w:val="3E6E7DA0"/>
    <w:rsid w:val="3E7D6F6F"/>
    <w:rsid w:val="3E7E0E8E"/>
    <w:rsid w:val="3E88486F"/>
    <w:rsid w:val="3E926C56"/>
    <w:rsid w:val="3E965301"/>
    <w:rsid w:val="3E976AB1"/>
    <w:rsid w:val="3E9A5F09"/>
    <w:rsid w:val="3E9D417E"/>
    <w:rsid w:val="3E9D4776"/>
    <w:rsid w:val="3EA5575B"/>
    <w:rsid w:val="3EB76A6F"/>
    <w:rsid w:val="3EBB2A4E"/>
    <w:rsid w:val="3EBF0BB1"/>
    <w:rsid w:val="3EC14128"/>
    <w:rsid w:val="3EC5279F"/>
    <w:rsid w:val="3EC6365E"/>
    <w:rsid w:val="3ECC7303"/>
    <w:rsid w:val="3ED46922"/>
    <w:rsid w:val="3EEA50D6"/>
    <w:rsid w:val="3EF238C9"/>
    <w:rsid w:val="3EFA2C17"/>
    <w:rsid w:val="3F0042AD"/>
    <w:rsid w:val="3F0F0F89"/>
    <w:rsid w:val="3F2A15DE"/>
    <w:rsid w:val="3F2C14CB"/>
    <w:rsid w:val="3F3D2989"/>
    <w:rsid w:val="3F3F4D0F"/>
    <w:rsid w:val="3F434360"/>
    <w:rsid w:val="3F582ED4"/>
    <w:rsid w:val="3F590F57"/>
    <w:rsid w:val="3F7172D8"/>
    <w:rsid w:val="3F755277"/>
    <w:rsid w:val="3F7C7901"/>
    <w:rsid w:val="3F8B1153"/>
    <w:rsid w:val="3F903756"/>
    <w:rsid w:val="3F9258DF"/>
    <w:rsid w:val="3F964A64"/>
    <w:rsid w:val="3F9705E4"/>
    <w:rsid w:val="3F991127"/>
    <w:rsid w:val="3FAE7A2B"/>
    <w:rsid w:val="3FB32DAE"/>
    <w:rsid w:val="3FB63E0A"/>
    <w:rsid w:val="3FB938C0"/>
    <w:rsid w:val="3FBE1B14"/>
    <w:rsid w:val="3FBF5AF7"/>
    <w:rsid w:val="3FC221A9"/>
    <w:rsid w:val="3FC66DEA"/>
    <w:rsid w:val="3FCD0AD3"/>
    <w:rsid w:val="3FCD2C2A"/>
    <w:rsid w:val="3FCF2C3B"/>
    <w:rsid w:val="3FEC436F"/>
    <w:rsid w:val="3FED4F32"/>
    <w:rsid w:val="3FEF03A8"/>
    <w:rsid w:val="3FF04ED0"/>
    <w:rsid w:val="3FF3746C"/>
    <w:rsid w:val="40071891"/>
    <w:rsid w:val="400B0040"/>
    <w:rsid w:val="400E73A8"/>
    <w:rsid w:val="403C7957"/>
    <w:rsid w:val="40495EFF"/>
    <w:rsid w:val="40545177"/>
    <w:rsid w:val="4058463D"/>
    <w:rsid w:val="405B0CC8"/>
    <w:rsid w:val="40631F1C"/>
    <w:rsid w:val="40633A2A"/>
    <w:rsid w:val="406C0039"/>
    <w:rsid w:val="406C6FD1"/>
    <w:rsid w:val="40751C21"/>
    <w:rsid w:val="40776750"/>
    <w:rsid w:val="408667B0"/>
    <w:rsid w:val="409517E7"/>
    <w:rsid w:val="40963C87"/>
    <w:rsid w:val="409D0A48"/>
    <w:rsid w:val="409D18DB"/>
    <w:rsid w:val="40A401A6"/>
    <w:rsid w:val="40A61EB3"/>
    <w:rsid w:val="40AD27E4"/>
    <w:rsid w:val="40AF5079"/>
    <w:rsid w:val="40B114E8"/>
    <w:rsid w:val="40B2660B"/>
    <w:rsid w:val="40B71DE5"/>
    <w:rsid w:val="40B928D8"/>
    <w:rsid w:val="40D775FB"/>
    <w:rsid w:val="40DD0A54"/>
    <w:rsid w:val="40EB69F1"/>
    <w:rsid w:val="40F138B7"/>
    <w:rsid w:val="40F93A22"/>
    <w:rsid w:val="41011647"/>
    <w:rsid w:val="4106507F"/>
    <w:rsid w:val="41066465"/>
    <w:rsid w:val="41220E33"/>
    <w:rsid w:val="41220F6D"/>
    <w:rsid w:val="41343BB8"/>
    <w:rsid w:val="413914A9"/>
    <w:rsid w:val="41410C71"/>
    <w:rsid w:val="414145B5"/>
    <w:rsid w:val="41417AAA"/>
    <w:rsid w:val="41447FB7"/>
    <w:rsid w:val="41486BC7"/>
    <w:rsid w:val="414A4602"/>
    <w:rsid w:val="41545E1C"/>
    <w:rsid w:val="41551E13"/>
    <w:rsid w:val="41582C19"/>
    <w:rsid w:val="41600049"/>
    <w:rsid w:val="41642423"/>
    <w:rsid w:val="416B3F83"/>
    <w:rsid w:val="41706CB3"/>
    <w:rsid w:val="41891F48"/>
    <w:rsid w:val="418A7653"/>
    <w:rsid w:val="418B3CC7"/>
    <w:rsid w:val="41A00A38"/>
    <w:rsid w:val="41A13E38"/>
    <w:rsid w:val="41AC2CEB"/>
    <w:rsid w:val="41B408A2"/>
    <w:rsid w:val="41B72FF7"/>
    <w:rsid w:val="41C70AD5"/>
    <w:rsid w:val="41E25BBD"/>
    <w:rsid w:val="41EF308C"/>
    <w:rsid w:val="41EF447A"/>
    <w:rsid w:val="41FF029C"/>
    <w:rsid w:val="41FF3335"/>
    <w:rsid w:val="420A79EE"/>
    <w:rsid w:val="420C6B17"/>
    <w:rsid w:val="420F7229"/>
    <w:rsid w:val="423B6125"/>
    <w:rsid w:val="423F4DD9"/>
    <w:rsid w:val="4242097D"/>
    <w:rsid w:val="42646595"/>
    <w:rsid w:val="426606EE"/>
    <w:rsid w:val="426F4708"/>
    <w:rsid w:val="42793EDF"/>
    <w:rsid w:val="427B78F2"/>
    <w:rsid w:val="427E7401"/>
    <w:rsid w:val="4281208F"/>
    <w:rsid w:val="428414B4"/>
    <w:rsid w:val="42925D60"/>
    <w:rsid w:val="42927A87"/>
    <w:rsid w:val="429C7FA6"/>
    <w:rsid w:val="42B037DD"/>
    <w:rsid w:val="42B35F69"/>
    <w:rsid w:val="42B87A2A"/>
    <w:rsid w:val="42B90EFE"/>
    <w:rsid w:val="42C93415"/>
    <w:rsid w:val="42D513D3"/>
    <w:rsid w:val="42D67786"/>
    <w:rsid w:val="42D8421A"/>
    <w:rsid w:val="42DE2F9A"/>
    <w:rsid w:val="42F56D13"/>
    <w:rsid w:val="42F642BC"/>
    <w:rsid w:val="42FB3539"/>
    <w:rsid w:val="42FF25AB"/>
    <w:rsid w:val="42FF43C1"/>
    <w:rsid w:val="43016A2D"/>
    <w:rsid w:val="43030B62"/>
    <w:rsid w:val="430B3E7F"/>
    <w:rsid w:val="4319100E"/>
    <w:rsid w:val="43192D2F"/>
    <w:rsid w:val="431946AD"/>
    <w:rsid w:val="43345979"/>
    <w:rsid w:val="433D4574"/>
    <w:rsid w:val="43433CBF"/>
    <w:rsid w:val="43455FE4"/>
    <w:rsid w:val="435168A7"/>
    <w:rsid w:val="435873B5"/>
    <w:rsid w:val="435D695C"/>
    <w:rsid w:val="4367443A"/>
    <w:rsid w:val="43682C37"/>
    <w:rsid w:val="436D5A3F"/>
    <w:rsid w:val="437A3040"/>
    <w:rsid w:val="437A49D1"/>
    <w:rsid w:val="4382329A"/>
    <w:rsid w:val="4387383D"/>
    <w:rsid w:val="438948EF"/>
    <w:rsid w:val="43921B6C"/>
    <w:rsid w:val="439B0FBC"/>
    <w:rsid w:val="439D71ED"/>
    <w:rsid w:val="43A204A2"/>
    <w:rsid w:val="43A96A36"/>
    <w:rsid w:val="43AE0CA2"/>
    <w:rsid w:val="43B018DE"/>
    <w:rsid w:val="43B73A24"/>
    <w:rsid w:val="43BB7B44"/>
    <w:rsid w:val="43BC4DE5"/>
    <w:rsid w:val="43C743E1"/>
    <w:rsid w:val="43CB7FA8"/>
    <w:rsid w:val="43DA438C"/>
    <w:rsid w:val="43DE44B0"/>
    <w:rsid w:val="43EB15D1"/>
    <w:rsid w:val="43EB5EFB"/>
    <w:rsid w:val="43F20138"/>
    <w:rsid w:val="44077E14"/>
    <w:rsid w:val="440E7A93"/>
    <w:rsid w:val="44165C3A"/>
    <w:rsid w:val="44255467"/>
    <w:rsid w:val="44281D2C"/>
    <w:rsid w:val="44326DA3"/>
    <w:rsid w:val="444C570F"/>
    <w:rsid w:val="444D699C"/>
    <w:rsid w:val="445230AA"/>
    <w:rsid w:val="445A3A32"/>
    <w:rsid w:val="44660B6F"/>
    <w:rsid w:val="44707EA8"/>
    <w:rsid w:val="44741F73"/>
    <w:rsid w:val="447B0727"/>
    <w:rsid w:val="449048B8"/>
    <w:rsid w:val="44934BC2"/>
    <w:rsid w:val="44980F47"/>
    <w:rsid w:val="44A2531B"/>
    <w:rsid w:val="44AB36B8"/>
    <w:rsid w:val="44B63B1E"/>
    <w:rsid w:val="44C23A41"/>
    <w:rsid w:val="44C563A5"/>
    <w:rsid w:val="44CA1F28"/>
    <w:rsid w:val="44CD55EB"/>
    <w:rsid w:val="44DD2A8F"/>
    <w:rsid w:val="44F21063"/>
    <w:rsid w:val="44F82E48"/>
    <w:rsid w:val="44FB70A9"/>
    <w:rsid w:val="45025EF0"/>
    <w:rsid w:val="45076A96"/>
    <w:rsid w:val="45170EFF"/>
    <w:rsid w:val="451F6248"/>
    <w:rsid w:val="453156F6"/>
    <w:rsid w:val="45361EE6"/>
    <w:rsid w:val="453779E0"/>
    <w:rsid w:val="45392B72"/>
    <w:rsid w:val="453F7BBD"/>
    <w:rsid w:val="4541017A"/>
    <w:rsid w:val="45441CDC"/>
    <w:rsid w:val="45570359"/>
    <w:rsid w:val="458A4661"/>
    <w:rsid w:val="459A4241"/>
    <w:rsid w:val="45A45AFC"/>
    <w:rsid w:val="45BE2E50"/>
    <w:rsid w:val="45C64850"/>
    <w:rsid w:val="45E610E4"/>
    <w:rsid w:val="45F3275E"/>
    <w:rsid w:val="45F57F0D"/>
    <w:rsid w:val="45F650E9"/>
    <w:rsid w:val="45F84E9A"/>
    <w:rsid w:val="45F95712"/>
    <w:rsid w:val="45FA7805"/>
    <w:rsid w:val="460E6A22"/>
    <w:rsid w:val="46135A83"/>
    <w:rsid w:val="461473C0"/>
    <w:rsid w:val="461670D2"/>
    <w:rsid w:val="46231CB9"/>
    <w:rsid w:val="462A6FE2"/>
    <w:rsid w:val="462C5015"/>
    <w:rsid w:val="46303BC3"/>
    <w:rsid w:val="463B7F22"/>
    <w:rsid w:val="46444712"/>
    <w:rsid w:val="464973AF"/>
    <w:rsid w:val="46510B4A"/>
    <w:rsid w:val="465134E8"/>
    <w:rsid w:val="465327B1"/>
    <w:rsid w:val="4656640C"/>
    <w:rsid w:val="46602A51"/>
    <w:rsid w:val="466C7249"/>
    <w:rsid w:val="4670230B"/>
    <w:rsid w:val="467C242E"/>
    <w:rsid w:val="469F69E0"/>
    <w:rsid w:val="46A15B60"/>
    <w:rsid w:val="46A816F6"/>
    <w:rsid w:val="46AD0CA1"/>
    <w:rsid w:val="46AD149D"/>
    <w:rsid w:val="46B346BC"/>
    <w:rsid w:val="46B42634"/>
    <w:rsid w:val="46B92000"/>
    <w:rsid w:val="46BB5B16"/>
    <w:rsid w:val="46C065D1"/>
    <w:rsid w:val="46CE65E2"/>
    <w:rsid w:val="46DA6688"/>
    <w:rsid w:val="46E73DFC"/>
    <w:rsid w:val="46E94C65"/>
    <w:rsid w:val="46EC78B2"/>
    <w:rsid w:val="46F15005"/>
    <w:rsid w:val="46F25D91"/>
    <w:rsid w:val="46F30A36"/>
    <w:rsid w:val="46F948F9"/>
    <w:rsid w:val="4702499A"/>
    <w:rsid w:val="4704466B"/>
    <w:rsid w:val="470F505E"/>
    <w:rsid w:val="47112DBE"/>
    <w:rsid w:val="471A6B56"/>
    <w:rsid w:val="471D01C3"/>
    <w:rsid w:val="472275D7"/>
    <w:rsid w:val="472F260B"/>
    <w:rsid w:val="473F212F"/>
    <w:rsid w:val="47631DFA"/>
    <w:rsid w:val="47665DD2"/>
    <w:rsid w:val="47673A3C"/>
    <w:rsid w:val="477B5261"/>
    <w:rsid w:val="477C11A5"/>
    <w:rsid w:val="47835D4E"/>
    <w:rsid w:val="4787434B"/>
    <w:rsid w:val="4789626B"/>
    <w:rsid w:val="478C1B00"/>
    <w:rsid w:val="47902B12"/>
    <w:rsid w:val="47A27CA4"/>
    <w:rsid w:val="47A32A6C"/>
    <w:rsid w:val="47A80B25"/>
    <w:rsid w:val="47B73A6D"/>
    <w:rsid w:val="47BC26FD"/>
    <w:rsid w:val="47E27450"/>
    <w:rsid w:val="47E86D96"/>
    <w:rsid w:val="47E92978"/>
    <w:rsid w:val="47F2301E"/>
    <w:rsid w:val="47F51FEA"/>
    <w:rsid w:val="47F635DA"/>
    <w:rsid w:val="47FA05E5"/>
    <w:rsid w:val="48021BE6"/>
    <w:rsid w:val="4805269E"/>
    <w:rsid w:val="48090C2F"/>
    <w:rsid w:val="480A376C"/>
    <w:rsid w:val="482C4052"/>
    <w:rsid w:val="48463F81"/>
    <w:rsid w:val="48491783"/>
    <w:rsid w:val="484D6990"/>
    <w:rsid w:val="484D7E74"/>
    <w:rsid w:val="485033B3"/>
    <w:rsid w:val="48505DEC"/>
    <w:rsid w:val="48514C15"/>
    <w:rsid w:val="486066F0"/>
    <w:rsid w:val="48715D97"/>
    <w:rsid w:val="48827690"/>
    <w:rsid w:val="488416DB"/>
    <w:rsid w:val="48852C90"/>
    <w:rsid w:val="488B22B2"/>
    <w:rsid w:val="488B6BED"/>
    <w:rsid w:val="48957656"/>
    <w:rsid w:val="48AF55BC"/>
    <w:rsid w:val="48AF740F"/>
    <w:rsid w:val="48BC2D54"/>
    <w:rsid w:val="48CC2375"/>
    <w:rsid w:val="48D833AD"/>
    <w:rsid w:val="48DA1DFB"/>
    <w:rsid w:val="48DD1F18"/>
    <w:rsid w:val="48E42BE4"/>
    <w:rsid w:val="48E435AA"/>
    <w:rsid w:val="48E43FC6"/>
    <w:rsid w:val="48E77915"/>
    <w:rsid w:val="48E82206"/>
    <w:rsid w:val="48EB0F68"/>
    <w:rsid w:val="48F11A3E"/>
    <w:rsid w:val="49143BD2"/>
    <w:rsid w:val="492B6B99"/>
    <w:rsid w:val="492E22B4"/>
    <w:rsid w:val="492F71AE"/>
    <w:rsid w:val="493161DE"/>
    <w:rsid w:val="4932413F"/>
    <w:rsid w:val="493A2FBF"/>
    <w:rsid w:val="493A55BF"/>
    <w:rsid w:val="493C4807"/>
    <w:rsid w:val="4944617E"/>
    <w:rsid w:val="49466EAB"/>
    <w:rsid w:val="494704B3"/>
    <w:rsid w:val="49494C38"/>
    <w:rsid w:val="495516DE"/>
    <w:rsid w:val="495652F0"/>
    <w:rsid w:val="49650377"/>
    <w:rsid w:val="49704D67"/>
    <w:rsid w:val="49733E63"/>
    <w:rsid w:val="497A3314"/>
    <w:rsid w:val="497C08D9"/>
    <w:rsid w:val="49874A84"/>
    <w:rsid w:val="498A101C"/>
    <w:rsid w:val="498D5474"/>
    <w:rsid w:val="49AB4F4F"/>
    <w:rsid w:val="49AE7058"/>
    <w:rsid w:val="49B6014C"/>
    <w:rsid w:val="49C143D6"/>
    <w:rsid w:val="49CE7630"/>
    <w:rsid w:val="49D410EC"/>
    <w:rsid w:val="49D83F4F"/>
    <w:rsid w:val="49F82447"/>
    <w:rsid w:val="49FC0EF9"/>
    <w:rsid w:val="4A10486A"/>
    <w:rsid w:val="4A154EED"/>
    <w:rsid w:val="4A1A1910"/>
    <w:rsid w:val="4A214796"/>
    <w:rsid w:val="4A2335F7"/>
    <w:rsid w:val="4A2A6DAF"/>
    <w:rsid w:val="4A370510"/>
    <w:rsid w:val="4A3C44A2"/>
    <w:rsid w:val="4A4D759F"/>
    <w:rsid w:val="4A7E58E9"/>
    <w:rsid w:val="4A841C34"/>
    <w:rsid w:val="4A885949"/>
    <w:rsid w:val="4A8C55B2"/>
    <w:rsid w:val="4A8D5DD8"/>
    <w:rsid w:val="4A9172CC"/>
    <w:rsid w:val="4AA23689"/>
    <w:rsid w:val="4AAA27AE"/>
    <w:rsid w:val="4AAD1793"/>
    <w:rsid w:val="4AB33C54"/>
    <w:rsid w:val="4AB45A7F"/>
    <w:rsid w:val="4AB76347"/>
    <w:rsid w:val="4AB872E4"/>
    <w:rsid w:val="4ABB2150"/>
    <w:rsid w:val="4AC718C8"/>
    <w:rsid w:val="4AE13CDC"/>
    <w:rsid w:val="4AE53AFA"/>
    <w:rsid w:val="4AF46F9F"/>
    <w:rsid w:val="4AF627DE"/>
    <w:rsid w:val="4AFA6B1E"/>
    <w:rsid w:val="4B064B5E"/>
    <w:rsid w:val="4B0702FA"/>
    <w:rsid w:val="4B0E0A79"/>
    <w:rsid w:val="4B3D069F"/>
    <w:rsid w:val="4B464F18"/>
    <w:rsid w:val="4B4B4F70"/>
    <w:rsid w:val="4B4E5607"/>
    <w:rsid w:val="4B611DBA"/>
    <w:rsid w:val="4B6719DA"/>
    <w:rsid w:val="4B782343"/>
    <w:rsid w:val="4B807D87"/>
    <w:rsid w:val="4B85234C"/>
    <w:rsid w:val="4B882AC1"/>
    <w:rsid w:val="4B8E0699"/>
    <w:rsid w:val="4B913796"/>
    <w:rsid w:val="4B944DA3"/>
    <w:rsid w:val="4B947C90"/>
    <w:rsid w:val="4B9B6D6D"/>
    <w:rsid w:val="4B9D559A"/>
    <w:rsid w:val="4BB22FCD"/>
    <w:rsid w:val="4BC27763"/>
    <w:rsid w:val="4BC3455B"/>
    <w:rsid w:val="4BD8468C"/>
    <w:rsid w:val="4BF178B1"/>
    <w:rsid w:val="4BFB4D54"/>
    <w:rsid w:val="4C00546D"/>
    <w:rsid w:val="4C073282"/>
    <w:rsid w:val="4C0C0674"/>
    <w:rsid w:val="4C0D10E8"/>
    <w:rsid w:val="4C10248C"/>
    <w:rsid w:val="4C106B28"/>
    <w:rsid w:val="4C1A4691"/>
    <w:rsid w:val="4C1B4FF5"/>
    <w:rsid w:val="4C223827"/>
    <w:rsid w:val="4C280297"/>
    <w:rsid w:val="4C2D0900"/>
    <w:rsid w:val="4C393866"/>
    <w:rsid w:val="4C3E1EEC"/>
    <w:rsid w:val="4C3E2BDD"/>
    <w:rsid w:val="4C3E4F03"/>
    <w:rsid w:val="4C3E66B2"/>
    <w:rsid w:val="4C40171C"/>
    <w:rsid w:val="4C462607"/>
    <w:rsid w:val="4C4E5DE9"/>
    <w:rsid w:val="4C4F0384"/>
    <w:rsid w:val="4C542E6C"/>
    <w:rsid w:val="4C5466A5"/>
    <w:rsid w:val="4C555D68"/>
    <w:rsid w:val="4C565B04"/>
    <w:rsid w:val="4C614D10"/>
    <w:rsid w:val="4C6A692F"/>
    <w:rsid w:val="4C6F122C"/>
    <w:rsid w:val="4C757CBD"/>
    <w:rsid w:val="4C767E86"/>
    <w:rsid w:val="4C7878C8"/>
    <w:rsid w:val="4C856CF7"/>
    <w:rsid w:val="4C8A2CD1"/>
    <w:rsid w:val="4C8F72B7"/>
    <w:rsid w:val="4C9B3E13"/>
    <w:rsid w:val="4CA24D94"/>
    <w:rsid w:val="4CA515E5"/>
    <w:rsid w:val="4CAC488C"/>
    <w:rsid w:val="4CB15705"/>
    <w:rsid w:val="4CC518E0"/>
    <w:rsid w:val="4CD961E5"/>
    <w:rsid w:val="4CDA4C08"/>
    <w:rsid w:val="4CDA5C09"/>
    <w:rsid w:val="4CE35B0C"/>
    <w:rsid w:val="4CF52311"/>
    <w:rsid w:val="4CFB6156"/>
    <w:rsid w:val="4D0543B8"/>
    <w:rsid w:val="4D117362"/>
    <w:rsid w:val="4D160484"/>
    <w:rsid w:val="4D17260B"/>
    <w:rsid w:val="4D185CE6"/>
    <w:rsid w:val="4D2B689A"/>
    <w:rsid w:val="4D2C0A0F"/>
    <w:rsid w:val="4D4406A8"/>
    <w:rsid w:val="4D461137"/>
    <w:rsid w:val="4D4B7A89"/>
    <w:rsid w:val="4D514C8E"/>
    <w:rsid w:val="4D5A1027"/>
    <w:rsid w:val="4D6706C1"/>
    <w:rsid w:val="4D6B0EAB"/>
    <w:rsid w:val="4D6B4AAB"/>
    <w:rsid w:val="4D6C18AB"/>
    <w:rsid w:val="4D7C4508"/>
    <w:rsid w:val="4D844A8D"/>
    <w:rsid w:val="4D845B35"/>
    <w:rsid w:val="4D935FE3"/>
    <w:rsid w:val="4D954040"/>
    <w:rsid w:val="4D954FCD"/>
    <w:rsid w:val="4D9A5BB7"/>
    <w:rsid w:val="4DA27A5E"/>
    <w:rsid w:val="4DA45701"/>
    <w:rsid w:val="4DA70C9C"/>
    <w:rsid w:val="4DBA577A"/>
    <w:rsid w:val="4DC06D0B"/>
    <w:rsid w:val="4DC1448A"/>
    <w:rsid w:val="4DC24B1F"/>
    <w:rsid w:val="4DC45A82"/>
    <w:rsid w:val="4DCD75D1"/>
    <w:rsid w:val="4DCE7718"/>
    <w:rsid w:val="4DD5225B"/>
    <w:rsid w:val="4DE3709C"/>
    <w:rsid w:val="4DE474A8"/>
    <w:rsid w:val="4DF213D9"/>
    <w:rsid w:val="4DF54B24"/>
    <w:rsid w:val="4DFB5EFE"/>
    <w:rsid w:val="4DFC5335"/>
    <w:rsid w:val="4DFD0479"/>
    <w:rsid w:val="4E0002FD"/>
    <w:rsid w:val="4E050917"/>
    <w:rsid w:val="4E0A4C82"/>
    <w:rsid w:val="4E110B8F"/>
    <w:rsid w:val="4E1718B1"/>
    <w:rsid w:val="4E176D02"/>
    <w:rsid w:val="4E1C1B8F"/>
    <w:rsid w:val="4E1C63DB"/>
    <w:rsid w:val="4E27026C"/>
    <w:rsid w:val="4E296F67"/>
    <w:rsid w:val="4E2D6DB5"/>
    <w:rsid w:val="4E394D65"/>
    <w:rsid w:val="4E484690"/>
    <w:rsid w:val="4E52585A"/>
    <w:rsid w:val="4E5535EE"/>
    <w:rsid w:val="4E576EF8"/>
    <w:rsid w:val="4E5D1B05"/>
    <w:rsid w:val="4E5D36D6"/>
    <w:rsid w:val="4E6754F9"/>
    <w:rsid w:val="4E6A07C9"/>
    <w:rsid w:val="4E6A67DA"/>
    <w:rsid w:val="4E731EF6"/>
    <w:rsid w:val="4E7A7AC5"/>
    <w:rsid w:val="4E7E3D2F"/>
    <w:rsid w:val="4E8A57E8"/>
    <w:rsid w:val="4E927684"/>
    <w:rsid w:val="4E997DDB"/>
    <w:rsid w:val="4EB444D2"/>
    <w:rsid w:val="4EBB05CD"/>
    <w:rsid w:val="4EBE33EE"/>
    <w:rsid w:val="4EE24E2D"/>
    <w:rsid w:val="4EF075C6"/>
    <w:rsid w:val="4F0F6189"/>
    <w:rsid w:val="4F105605"/>
    <w:rsid w:val="4F180A43"/>
    <w:rsid w:val="4F21622E"/>
    <w:rsid w:val="4F2622D7"/>
    <w:rsid w:val="4F2E4DA3"/>
    <w:rsid w:val="4F351917"/>
    <w:rsid w:val="4F3B55EC"/>
    <w:rsid w:val="4F3D2E98"/>
    <w:rsid w:val="4F3D709C"/>
    <w:rsid w:val="4F4D313E"/>
    <w:rsid w:val="4F592B2B"/>
    <w:rsid w:val="4F6A744D"/>
    <w:rsid w:val="4F726D0D"/>
    <w:rsid w:val="4F842244"/>
    <w:rsid w:val="4F856BD7"/>
    <w:rsid w:val="4F885F0D"/>
    <w:rsid w:val="4F9306E3"/>
    <w:rsid w:val="4F935BA8"/>
    <w:rsid w:val="4FB03C91"/>
    <w:rsid w:val="4FB979CB"/>
    <w:rsid w:val="4FBE14E9"/>
    <w:rsid w:val="4FBF496A"/>
    <w:rsid w:val="4FCF4B8E"/>
    <w:rsid w:val="4FD7412B"/>
    <w:rsid w:val="4FD84CD4"/>
    <w:rsid w:val="4FF55F69"/>
    <w:rsid w:val="50052E40"/>
    <w:rsid w:val="500A76A8"/>
    <w:rsid w:val="500A775A"/>
    <w:rsid w:val="500D03EB"/>
    <w:rsid w:val="50105C7D"/>
    <w:rsid w:val="501131C9"/>
    <w:rsid w:val="50116FE7"/>
    <w:rsid w:val="50142D1D"/>
    <w:rsid w:val="50156043"/>
    <w:rsid w:val="50164686"/>
    <w:rsid w:val="5024594B"/>
    <w:rsid w:val="502A3FAC"/>
    <w:rsid w:val="503153B3"/>
    <w:rsid w:val="5033398B"/>
    <w:rsid w:val="50345A61"/>
    <w:rsid w:val="50491DC4"/>
    <w:rsid w:val="50581F85"/>
    <w:rsid w:val="506C3CA0"/>
    <w:rsid w:val="50743A7A"/>
    <w:rsid w:val="507C04DC"/>
    <w:rsid w:val="508F21AD"/>
    <w:rsid w:val="5090026C"/>
    <w:rsid w:val="50990513"/>
    <w:rsid w:val="50A21590"/>
    <w:rsid w:val="50A92011"/>
    <w:rsid w:val="50A95723"/>
    <w:rsid w:val="50B44BF6"/>
    <w:rsid w:val="50B91C67"/>
    <w:rsid w:val="50BC0523"/>
    <w:rsid w:val="50C850D2"/>
    <w:rsid w:val="50E37C05"/>
    <w:rsid w:val="50F15346"/>
    <w:rsid w:val="50FA1176"/>
    <w:rsid w:val="50FA2EED"/>
    <w:rsid w:val="50FA3733"/>
    <w:rsid w:val="50FA76F6"/>
    <w:rsid w:val="50FD546C"/>
    <w:rsid w:val="510A7CB4"/>
    <w:rsid w:val="5110473A"/>
    <w:rsid w:val="5113036A"/>
    <w:rsid w:val="51221E5A"/>
    <w:rsid w:val="51300B61"/>
    <w:rsid w:val="51423700"/>
    <w:rsid w:val="514E2314"/>
    <w:rsid w:val="51501537"/>
    <w:rsid w:val="51505E8B"/>
    <w:rsid w:val="515C0FC3"/>
    <w:rsid w:val="516146FA"/>
    <w:rsid w:val="51666F5D"/>
    <w:rsid w:val="51683A15"/>
    <w:rsid w:val="51770CA3"/>
    <w:rsid w:val="51782737"/>
    <w:rsid w:val="517C5DF9"/>
    <w:rsid w:val="519308E7"/>
    <w:rsid w:val="51973632"/>
    <w:rsid w:val="51A43D6B"/>
    <w:rsid w:val="51AB7953"/>
    <w:rsid w:val="51B20315"/>
    <w:rsid w:val="51C17E79"/>
    <w:rsid w:val="51C35657"/>
    <w:rsid w:val="51C74892"/>
    <w:rsid w:val="51D15876"/>
    <w:rsid w:val="51D42AB5"/>
    <w:rsid w:val="51D61B57"/>
    <w:rsid w:val="51D90992"/>
    <w:rsid w:val="51E21372"/>
    <w:rsid w:val="51E95AEC"/>
    <w:rsid w:val="51EA3B6E"/>
    <w:rsid w:val="51EC0552"/>
    <w:rsid w:val="51F17D1B"/>
    <w:rsid w:val="520F27DB"/>
    <w:rsid w:val="521511E9"/>
    <w:rsid w:val="521D1153"/>
    <w:rsid w:val="521E21C1"/>
    <w:rsid w:val="52215664"/>
    <w:rsid w:val="52253F3A"/>
    <w:rsid w:val="523512D1"/>
    <w:rsid w:val="523C44E2"/>
    <w:rsid w:val="52422740"/>
    <w:rsid w:val="52492306"/>
    <w:rsid w:val="52495B34"/>
    <w:rsid w:val="524D0D82"/>
    <w:rsid w:val="52511617"/>
    <w:rsid w:val="52604A94"/>
    <w:rsid w:val="526156FA"/>
    <w:rsid w:val="5262781E"/>
    <w:rsid w:val="52646C01"/>
    <w:rsid w:val="52665363"/>
    <w:rsid w:val="526B7998"/>
    <w:rsid w:val="527728AB"/>
    <w:rsid w:val="52802B6A"/>
    <w:rsid w:val="529E0AE5"/>
    <w:rsid w:val="529E245F"/>
    <w:rsid w:val="52A97019"/>
    <w:rsid w:val="52AF1684"/>
    <w:rsid w:val="52BF07E1"/>
    <w:rsid w:val="52C6306C"/>
    <w:rsid w:val="52CE0607"/>
    <w:rsid w:val="52E27DAA"/>
    <w:rsid w:val="52EA5F86"/>
    <w:rsid w:val="52F02CFB"/>
    <w:rsid w:val="52F440D5"/>
    <w:rsid w:val="52F8334A"/>
    <w:rsid w:val="52F90094"/>
    <w:rsid w:val="53197808"/>
    <w:rsid w:val="531B3EF9"/>
    <w:rsid w:val="531D5AC4"/>
    <w:rsid w:val="53232631"/>
    <w:rsid w:val="532A34EC"/>
    <w:rsid w:val="532C2004"/>
    <w:rsid w:val="533009C4"/>
    <w:rsid w:val="53400958"/>
    <w:rsid w:val="534808D3"/>
    <w:rsid w:val="53494682"/>
    <w:rsid w:val="53630374"/>
    <w:rsid w:val="53702784"/>
    <w:rsid w:val="53726F62"/>
    <w:rsid w:val="539D097F"/>
    <w:rsid w:val="53A52D01"/>
    <w:rsid w:val="53AE1FF4"/>
    <w:rsid w:val="53BD1B51"/>
    <w:rsid w:val="53BE31AF"/>
    <w:rsid w:val="53C704BB"/>
    <w:rsid w:val="53C96564"/>
    <w:rsid w:val="53C97D18"/>
    <w:rsid w:val="53D92E7F"/>
    <w:rsid w:val="53DE2863"/>
    <w:rsid w:val="53F775B1"/>
    <w:rsid w:val="53FB50A6"/>
    <w:rsid w:val="53FC579A"/>
    <w:rsid w:val="53FF4546"/>
    <w:rsid w:val="54157BB9"/>
    <w:rsid w:val="541A7DBF"/>
    <w:rsid w:val="541F51EB"/>
    <w:rsid w:val="5420197C"/>
    <w:rsid w:val="542020D1"/>
    <w:rsid w:val="54233C0C"/>
    <w:rsid w:val="54273C3A"/>
    <w:rsid w:val="54313143"/>
    <w:rsid w:val="543E3960"/>
    <w:rsid w:val="54401C3E"/>
    <w:rsid w:val="54434759"/>
    <w:rsid w:val="54464D87"/>
    <w:rsid w:val="5450546D"/>
    <w:rsid w:val="545574B3"/>
    <w:rsid w:val="54697878"/>
    <w:rsid w:val="546A7CEF"/>
    <w:rsid w:val="547D552B"/>
    <w:rsid w:val="54971787"/>
    <w:rsid w:val="54A05CAD"/>
    <w:rsid w:val="54A46601"/>
    <w:rsid w:val="54AC6A4A"/>
    <w:rsid w:val="54B532A6"/>
    <w:rsid w:val="54BA79A6"/>
    <w:rsid w:val="54C6283A"/>
    <w:rsid w:val="54CD2FCF"/>
    <w:rsid w:val="54D74BA1"/>
    <w:rsid w:val="54E739BA"/>
    <w:rsid w:val="54FD28B8"/>
    <w:rsid w:val="54FE57C9"/>
    <w:rsid w:val="550148A2"/>
    <w:rsid w:val="55015DBF"/>
    <w:rsid w:val="550A0272"/>
    <w:rsid w:val="550C716C"/>
    <w:rsid w:val="5523585F"/>
    <w:rsid w:val="552E6032"/>
    <w:rsid w:val="552F6461"/>
    <w:rsid w:val="553425F3"/>
    <w:rsid w:val="554F6438"/>
    <w:rsid w:val="55597D15"/>
    <w:rsid w:val="55603669"/>
    <w:rsid w:val="5572452F"/>
    <w:rsid w:val="55751662"/>
    <w:rsid w:val="557D54B9"/>
    <w:rsid w:val="558747F4"/>
    <w:rsid w:val="55876DB5"/>
    <w:rsid w:val="5591443C"/>
    <w:rsid w:val="559C32FF"/>
    <w:rsid w:val="559C6350"/>
    <w:rsid w:val="55A62284"/>
    <w:rsid w:val="55B354B6"/>
    <w:rsid w:val="55B553D6"/>
    <w:rsid w:val="55B604A4"/>
    <w:rsid w:val="55B779D3"/>
    <w:rsid w:val="55BC3629"/>
    <w:rsid w:val="55BD0B8A"/>
    <w:rsid w:val="55DA6FF1"/>
    <w:rsid w:val="55E92B31"/>
    <w:rsid w:val="55F25DB2"/>
    <w:rsid w:val="55FA3B51"/>
    <w:rsid w:val="560F6518"/>
    <w:rsid w:val="56137C14"/>
    <w:rsid w:val="56220F10"/>
    <w:rsid w:val="56255845"/>
    <w:rsid w:val="5626475E"/>
    <w:rsid w:val="563364A3"/>
    <w:rsid w:val="564336C2"/>
    <w:rsid w:val="565C7FE0"/>
    <w:rsid w:val="566F1F3F"/>
    <w:rsid w:val="567121C4"/>
    <w:rsid w:val="567171CD"/>
    <w:rsid w:val="56845524"/>
    <w:rsid w:val="5687319B"/>
    <w:rsid w:val="56A53670"/>
    <w:rsid w:val="56B74B26"/>
    <w:rsid w:val="56B772A6"/>
    <w:rsid w:val="56CC1BD9"/>
    <w:rsid w:val="56DB1A40"/>
    <w:rsid w:val="56E779FE"/>
    <w:rsid w:val="56EB18D4"/>
    <w:rsid w:val="56F0350C"/>
    <w:rsid w:val="57024C01"/>
    <w:rsid w:val="5711557D"/>
    <w:rsid w:val="5713261D"/>
    <w:rsid w:val="57192A42"/>
    <w:rsid w:val="57252AAB"/>
    <w:rsid w:val="57261529"/>
    <w:rsid w:val="572A300C"/>
    <w:rsid w:val="572F6FC9"/>
    <w:rsid w:val="57355C41"/>
    <w:rsid w:val="573761B0"/>
    <w:rsid w:val="573D7101"/>
    <w:rsid w:val="5741236A"/>
    <w:rsid w:val="574224D0"/>
    <w:rsid w:val="57443869"/>
    <w:rsid w:val="5749669E"/>
    <w:rsid w:val="575A7442"/>
    <w:rsid w:val="577B11BF"/>
    <w:rsid w:val="577B4385"/>
    <w:rsid w:val="57844862"/>
    <w:rsid w:val="57887700"/>
    <w:rsid w:val="578A4D0C"/>
    <w:rsid w:val="578E3CEF"/>
    <w:rsid w:val="57956F3F"/>
    <w:rsid w:val="579E784E"/>
    <w:rsid w:val="57AA208A"/>
    <w:rsid w:val="57AC3B07"/>
    <w:rsid w:val="57B325C8"/>
    <w:rsid w:val="57B50671"/>
    <w:rsid w:val="57BA37D8"/>
    <w:rsid w:val="57CF37F5"/>
    <w:rsid w:val="57DF677C"/>
    <w:rsid w:val="57EB6E4C"/>
    <w:rsid w:val="57F51DC5"/>
    <w:rsid w:val="581022CC"/>
    <w:rsid w:val="5823010F"/>
    <w:rsid w:val="582433FC"/>
    <w:rsid w:val="58295312"/>
    <w:rsid w:val="583105E7"/>
    <w:rsid w:val="583C30E5"/>
    <w:rsid w:val="584E4FAE"/>
    <w:rsid w:val="58552A19"/>
    <w:rsid w:val="587F29B0"/>
    <w:rsid w:val="58A874F5"/>
    <w:rsid w:val="58B13C1B"/>
    <w:rsid w:val="58BF5348"/>
    <w:rsid w:val="58C37CF4"/>
    <w:rsid w:val="58C81CBD"/>
    <w:rsid w:val="58D34D2A"/>
    <w:rsid w:val="58D36F38"/>
    <w:rsid w:val="58E14EF8"/>
    <w:rsid w:val="58E8651A"/>
    <w:rsid w:val="58EA5A78"/>
    <w:rsid w:val="591602B0"/>
    <w:rsid w:val="59206E5D"/>
    <w:rsid w:val="59211B83"/>
    <w:rsid w:val="592B2CD6"/>
    <w:rsid w:val="592C09F9"/>
    <w:rsid w:val="5936093C"/>
    <w:rsid w:val="593709F1"/>
    <w:rsid w:val="593E7D02"/>
    <w:rsid w:val="594029F7"/>
    <w:rsid w:val="59412365"/>
    <w:rsid w:val="594E51E4"/>
    <w:rsid w:val="59534262"/>
    <w:rsid w:val="595750C0"/>
    <w:rsid w:val="595F7440"/>
    <w:rsid w:val="596256C6"/>
    <w:rsid w:val="59686841"/>
    <w:rsid w:val="596A6893"/>
    <w:rsid w:val="596F5DB1"/>
    <w:rsid w:val="597C447C"/>
    <w:rsid w:val="59824C2F"/>
    <w:rsid w:val="59875C65"/>
    <w:rsid w:val="598C4341"/>
    <w:rsid w:val="59911195"/>
    <w:rsid w:val="59A74355"/>
    <w:rsid w:val="59AF7CF9"/>
    <w:rsid w:val="59B25010"/>
    <w:rsid w:val="59B352C7"/>
    <w:rsid w:val="59B54B80"/>
    <w:rsid w:val="59D02C5B"/>
    <w:rsid w:val="59D72F88"/>
    <w:rsid w:val="59D92C7D"/>
    <w:rsid w:val="59DA6961"/>
    <w:rsid w:val="59DD0577"/>
    <w:rsid w:val="59DE2385"/>
    <w:rsid w:val="59E72D5B"/>
    <w:rsid w:val="59EC6038"/>
    <w:rsid w:val="59EE7B58"/>
    <w:rsid w:val="59F02AD4"/>
    <w:rsid w:val="59FB0BC2"/>
    <w:rsid w:val="5A025D19"/>
    <w:rsid w:val="5A0B2DE9"/>
    <w:rsid w:val="5A0D4846"/>
    <w:rsid w:val="5A213B6E"/>
    <w:rsid w:val="5A343E65"/>
    <w:rsid w:val="5A417CAF"/>
    <w:rsid w:val="5A435396"/>
    <w:rsid w:val="5A454345"/>
    <w:rsid w:val="5A493E3F"/>
    <w:rsid w:val="5A624857"/>
    <w:rsid w:val="5A6907AC"/>
    <w:rsid w:val="5A6E3E95"/>
    <w:rsid w:val="5A721EF5"/>
    <w:rsid w:val="5A755CE3"/>
    <w:rsid w:val="5A81078E"/>
    <w:rsid w:val="5A84252D"/>
    <w:rsid w:val="5A9E0E55"/>
    <w:rsid w:val="5AA0629F"/>
    <w:rsid w:val="5AB503EE"/>
    <w:rsid w:val="5ABA6675"/>
    <w:rsid w:val="5ABB0B36"/>
    <w:rsid w:val="5ABC0C9C"/>
    <w:rsid w:val="5AC41C2F"/>
    <w:rsid w:val="5AD00DCE"/>
    <w:rsid w:val="5AD33CA9"/>
    <w:rsid w:val="5AD43747"/>
    <w:rsid w:val="5AD43C3C"/>
    <w:rsid w:val="5AD742DE"/>
    <w:rsid w:val="5AD77E1A"/>
    <w:rsid w:val="5AE00E5A"/>
    <w:rsid w:val="5AE92222"/>
    <w:rsid w:val="5AF562AA"/>
    <w:rsid w:val="5AF74476"/>
    <w:rsid w:val="5AF87B69"/>
    <w:rsid w:val="5B0C4295"/>
    <w:rsid w:val="5B0E4B3E"/>
    <w:rsid w:val="5B154A6F"/>
    <w:rsid w:val="5B1653AB"/>
    <w:rsid w:val="5B175B69"/>
    <w:rsid w:val="5B317981"/>
    <w:rsid w:val="5B34143B"/>
    <w:rsid w:val="5B34366F"/>
    <w:rsid w:val="5B3C1467"/>
    <w:rsid w:val="5B3D72CA"/>
    <w:rsid w:val="5B451980"/>
    <w:rsid w:val="5B512907"/>
    <w:rsid w:val="5B59379A"/>
    <w:rsid w:val="5B6E7C6E"/>
    <w:rsid w:val="5B6F417C"/>
    <w:rsid w:val="5B7129B1"/>
    <w:rsid w:val="5B7C51A4"/>
    <w:rsid w:val="5B817E8F"/>
    <w:rsid w:val="5B861D6F"/>
    <w:rsid w:val="5B867A3D"/>
    <w:rsid w:val="5B926D60"/>
    <w:rsid w:val="5B961769"/>
    <w:rsid w:val="5B9D4FE6"/>
    <w:rsid w:val="5BA001FF"/>
    <w:rsid w:val="5BA021F7"/>
    <w:rsid w:val="5BA61911"/>
    <w:rsid w:val="5BB125F0"/>
    <w:rsid w:val="5BB34939"/>
    <w:rsid w:val="5BB76DD0"/>
    <w:rsid w:val="5BC36309"/>
    <w:rsid w:val="5BC46254"/>
    <w:rsid w:val="5BC67AE4"/>
    <w:rsid w:val="5BCF630A"/>
    <w:rsid w:val="5BD25A14"/>
    <w:rsid w:val="5BD8381A"/>
    <w:rsid w:val="5BE7321C"/>
    <w:rsid w:val="5BEA1F33"/>
    <w:rsid w:val="5BF04DD0"/>
    <w:rsid w:val="5C020445"/>
    <w:rsid w:val="5C064EDB"/>
    <w:rsid w:val="5C104AF7"/>
    <w:rsid w:val="5C1D4064"/>
    <w:rsid w:val="5C285E4B"/>
    <w:rsid w:val="5C354F00"/>
    <w:rsid w:val="5C360269"/>
    <w:rsid w:val="5C3A164E"/>
    <w:rsid w:val="5C585FD9"/>
    <w:rsid w:val="5C5D68C0"/>
    <w:rsid w:val="5C646143"/>
    <w:rsid w:val="5C651D41"/>
    <w:rsid w:val="5C6B7822"/>
    <w:rsid w:val="5C7B58F6"/>
    <w:rsid w:val="5C8F339A"/>
    <w:rsid w:val="5C9D4E13"/>
    <w:rsid w:val="5CA32B07"/>
    <w:rsid w:val="5CA5242F"/>
    <w:rsid w:val="5CB614CC"/>
    <w:rsid w:val="5CB67124"/>
    <w:rsid w:val="5CBB786D"/>
    <w:rsid w:val="5CBC2ABB"/>
    <w:rsid w:val="5CBC5687"/>
    <w:rsid w:val="5CC022D8"/>
    <w:rsid w:val="5CC1304F"/>
    <w:rsid w:val="5CC25AE2"/>
    <w:rsid w:val="5CCC4329"/>
    <w:rsid w:val="5CF547E3"/>
    <w:rsid w:val="5CFD000D"/>
    <w:rsid w:val="5D0776B2"/>
    <w:rsid w:val="5D082750"/>
    <w:rsid w:val="5D0C507E"/>
    <w:rsid w:val="5D0E7955"/>
    <w:rsid w:val="5D130338"/>
    <w:rsid w:val="5D15654D"/>
    <w:rsid w:val="5D1B012C"/>
    <w:rsid w:val="5D283392"/>
    <w:rsid w:val="5D2E062F"/>
    <w:rsid w:val="5D3A324E"/>
    <w:rsid w:val="5D445C06"/>
    <w:rsid w:val="5D47507F"/>
    <w:rsid w:val="5D4B6846"/>
    <w:rsid w:val="5D4C4723"/>
    <w:rsid w:val="5D4F52C8"/>
    <w:rsid w:val="5D5574A4"/>
    <w:rsid w:val="5D55778C"/>
    <w:rsid w:val="5D562462"/>
    <w:rsid w:val="5D5B6481"/>
    <w:rsid w:val="5D5D2054"/>
    <w:rsid w:val="5D6B1D8D"/>
    <w:rsid w:val="5D752DD3"/>
    <w:rsid w:val="5D763CAF"/>
    <w:rsid w:val="5D7651A7"/>
    <w:rsid w:val="5D797E04"/>
    <w:rsid w:val="5D7D5D29"/>
    <w:rsid w:val="5D8437EA"/>
    <w:rsid w:val="5D8E55F0"/>
    <w:rsid w:val="5D9A73A2"/>
    <w:rsid w:val="5DA0703F"/>
    <w:rsid w:val="5DA314E1"/>
    <w:rsid w:val="5DB2213E"/>
    <w:rsid w:val="5DC563C2"/>
    <w:rsid w:val="5DC904D8"/>
    <w:rsid w:val="5DC96823"/>
    <w:rsid w:val="5DD65538"/>
    <w:rsid w:val="5DED5186"/>
    <w:rsid w:val="5DF0129F"/>
    <w:rsid w:val="5DF171A2"/>
    <w:rsid w:val="5DF5381A"/>
    <w:rsid w:val="5DF57479"/>
    <w:rsid w:val="5DFD6AED"/>
    <w:rsid w:val="5E0F3E4A"/>
    <w:rsid w:val="5E1D6871"/>
    <w:rsid w:val="5E526187"/>
    <w:rsid w:val="5E57308F"/>
    <w:rsid w:val="5E617502"/>
    <w:rsid w:val="5E654A40"/>
    <w:rsid w:val="5E681667"/>
    <w:rsid w:val="5E6D060D"/>
    <w:rsid w:val="5E6E6B5A"/>
    <w:rsid w:val="5E6F27F2"/>
    <w:rsid w:val="5E71528A"/>
    <w:rsid w:val="5E734CD6"/>
    <w:rsid w:val="5E775867"/>
    <w:rsid w:val="5E797589"/>
    <w:rsid w:val="5E7E1699"/>
    <w:rsid w:val="5E8235A9"/>
    <w:rsid w:val="5E8C0C23"/>
    <w:rsid w:val="5E9179CE"/>
    <w:rsid w:val="5E953891"/>
    <w:rsid w:val="5EA54ACF"/>
    <w:rsid w:val="5EA962E9"/>
    <w:rsid w:val="5EAF2AF9"/>
    <w:rsid w:val="5EB30CD1"/>
    <w:rsid w:val="5EBB2C3F"/>
    <w:rsid w:val="5EBB2ED7"/>
    <w:rsid w:val="5EBE39CF"/>
    <w:rsid w:val="5EBE6734"/>
    <w:rsid w:val="5EC51FD3"/>
    <w:rsid w:val="5EDC6996"/>
    <w:rsid w:val="5EFF5CC3"/>
    <w:rsid w:val="5F022739"/>
    <w:rsid w:val="5F0526EB"/>
    <w:rsid w:val="5F0B13B0"/>
    <w:rsid w:val="5F0B3FE1"/>
    <w:rsid w:val="5F1459DF"/>
    <w:rsid w:val="5F154931"/>
    <w:rsid w:val="5F19140C"/>
    <w:rsid w:val="5F2103A9"/>
    <w:rsid w:val="5F237351"/>
    <w:rsid w:val="5F3B005C"/>
    <w:rsid w:val="5F3E1977"/>
    <w:rsid w:val="5F4469D5"/>
    <w:rsid w:val="5F492758"/>
    <w:rsid w:val="5F540992"/>
    <w:rsid w:val="5F604F88"/>
    <w:rsid w:val="5F6179BF"/>
    <w:rsid w:val="5F620336"/>
    <w:rsid w:val="5F66467A"/>
    <w:rsid w:val="5F674237"/>
    <w:rsid w:val="5F6809FB"/>
    <w:rsid w:val="5F682FD0"/>
    <w:rsid w:val="5F6B07E7"/>
    <w:rsid w:val="5F744923"/>
    <w:rsid w:val="5F763698"/>
    <w:rsid w:val="5F77525B"/>
    <w:rsid w:val="5F840812"/>
    <w:rsid w:val="5F853695"/>
    <w:rsid w:val="5F874B1D"/>
    <w:rsid w:val="5F87557E"/>
    <w:rsid w:val="5F9C1AC6"/>
    <w:rsid w:val="5F9D1CD4"/>
    <w:rsid w:val="5F9E2DA3"/>
    <w:rsid w:val="5FA7078A"/>
    <w:rsid w:val="5FB31B39"/>
    <w:rsid w:val="5FBD0C20"/>
    <w:rsid w:val="5FC23F97"/>
    <w:rsid w:val="5FCE1853"/>
    <w:rsid w:val="5FD4289D"/>
    <w:rsid w:val="5FE57693"/>
    <w:rsid w:val="5FE95345"/>
    <w:rsid w:val="5FEC7182"/>
    <w:rsid w:val="5FF3439B"/>
    <w:rsid w:val="5FFA622B"/>
    <w:rsid w:val="6001078A"/>
    <w:rsid w:val="60013150"/>
    <w:rsid w:val="60045A41"/>
    <w:rsid w:val="6009014F"/>
    <w:rsid w:val="60125268"/>
    <w:rsid w:val="60187670"/>
    <w:rsid w:val="601D65FA"/>
    <w:rsid w:val="60204EC8"/>
    <w:rsid w:val="60301126"/>
    <w:rsid w:val="60337163"/>
    <w:rsid w:val="60387B03"/>
    <w:rsid w:val="60433C68"/>
    <w:rsid w:val="60461ADB"/>
    <w:rsid w:val="6048756E"/>
    <w:rsid w:val="60512948"/>
    <w:rsid w:val="605408D5"/>
    <w:rsid w:val="60560985"/>
    <w:rsid w:val="606D5B2B"/>
    <w:rsid w:val="60777034"/>
    <w:rsid w:val="607C7889"/>
    <w:rsid w:val="607E6EC7"/>
    <w:rsid w:val="60801D40"/>
    <w:rsid w:val="60821006"/>
    <w:rsid w:val="60895EA5"/>
    <w:rsid w:val="608B50CF"/>
    <w:rsid w:val="60911A56"/>
    <w:rsid w:val="609805F4"/>
    <w:rsid w:val="60A74FB6"/>
    <w:rsid w:val="60A90864"/>
    <w:rsid w:val="60AB1020"/>
    <w:rsid w:val="60B344F1"/>
    <w:rsid w:val="60B948CF"/>
    <w:rsid w:val="60C5488B"/>
    <w:rsid w:val="60CB5F2C"/>
    <w:rsid w:val="60D36B4A"/>
    <w:rsid w:val="60D65EFC"/>
    <w:rsid w:val="60EC57D4"/>
    <w:rsid w:val="60EE62EA"/>
    <w:rsid w:val="60F53641"/>
    <w:rsid w:val="60FA1A58"/>
    <w:rsid w:val="61012E04"/>
    <w:rsid w:val="61067DC7"/>
    <w:rsid w:val="61076A82"/>
    <w:rsid w:val="61265A23"/>
    <w:rsid w:val="61327F1A"/>
    <w:rsid w:val="61402635"/>
    <w:rsid w:val="614135B8"/>
    <w:rsid w:val="61455194"/>
    <w:rsid w:val="614E3A77"/>
    <w:rsid w:val="61500C20"/>
    <w:rsid w:val="6153556E"/>
    <w:rsid w:val="61635A49"/>
    <w:rsid w:val="61710B9B"/>
    <w:rsid w:val="618D0A2F"/>
    <w:rsid w:val="618E3AD3"/>
    <w:rsid w:val="61906272"/>
    <w:rsid w:val="61A06D49"/>
    <w:rsid w:val="61A167DC"/>
    <w:rsid w:val="61A71A78"/>
    <w:rsid w:val="61AA4F71"/>
    <w:rsid w:val="61AE2B0E"/>
    <w:rsid w:val="61B0245D"/>
    <w:rsid w:val="61B4517A"/>
    <w:rsid w:val="61D21633"/>
    <w:rsid w:val="61D82879"/>
    <w:rsid w:val="61D83718"/>
    <w:rsid w:val="61DA2857"/>
    <w:rsid w:val="61F6015C"/>
    <w:rsid w:val="61FD69C7"/>
    <w:rsid w:val="62061EB4"/>
    <w:rsid w:val="620642CA"/>
    <w:rsid w:val="620922D4"/>
    <w:rsid w:val="620D4298"/>
    <w:rsid w:val="62270D87"/>
    <w:rsid w:val="622A58F6"/>
    <w:rsid w:val="623037D7"/>
    <w:rsid w:val="623C6B46"/>
    <w:rsid w:val="623D1EA4"/>
    <w:rsid w:val="623E1C97"/>
    <w:rsid w:val="62484149"/>
    <w:rsid w:val="624E1F16"/>
    <w:rsid w:val="62533F3A"/>
    <w:rsid w:val="62545283"/>
    <w:rsid w:val="625B3CFF"/>
    <w:rsid w:val="62696E1A"/>
    <w:rsid w:val="627559D2"/>
    <w:rsid w:val="6277709C"/>
    <w:rsid w:val="627D7ECA"/>
    <w:rsid w:val="628244C6"/>
    <w:rsid w:val="62895404"/>
    <w:rsid w:val="628B014C"/>
    <w:rsid w:val="628E4C51"/>
    <w:rsid w:val="62943678"/>
    <w:rsid w:val="62AC6937"/>
    <w:rsid w:val="62B41E33"/>
    <w:rsid w:val="62BD7342"/>
    <w:rsid w:val="62C466C8"/>
    <w:rsid w:val="62C74775"/>
    <w:rsid w:val="62CB78D1"/>
    <w:rsid w:val="62D05486"/>
    <w:rsid w:val="62E652F1"/>
    <w:rsid w:val="62ED53CB"/>
    <w:rsid w:val="62EF7F3C"/>
    <w:rsid w:val="62F80727"/>
    <w:rsid w:val="63083D1C"/>
    <w:rsid w:val="63154D90"/>
    <w:rsid w:val="631B370B"/>
    <w:rsid w:val="631C0032"/>
    <w:rsid w:val="63200E60"/>
    <w:rsid w:val="63237B10"/>
    <w:rsid w:val="63271F6C"/>
    <w:rsid w:val="632E5347"/>
    <w:rsid w:val="634209F9"/>
    <w:rsid w:val="63446FAD"/>
    <w:rsid w:val="634D0956"/>
    <w:rsid w:val="634D6956"/>
    <w:rsid w:val="634E2C57"/>
    <w:rsid w:val="635B0FC2"/>
    <w:rsid w:val="636A4513"/>
    <w:rsid w:val="636D3D6B"/>
    <w:rsid w:val="63820CBE"/>
    <w:rsid w:val="63A61AA5"/>
    <w:rsid w:val="63B4226B"/>
    <w:rsid w:val="63B6052A"/>
    <w:rsid w:val="63B72C19"/>
    <w:rsid w:val="63CA48A1"/>
    <w:rsid w:val="63D13AFE"/>
    <w:rsid w:val="63D77A7A"/>
    <w:rsid w:val="63DC5F4F"/>
    <w:rsid w:val="63E77110"/>
    <w:rsid w:val="63EB1CCF"/>
    <w:rsid w:val="63EF4ECD"/>
    <w:rsid w:val="64152FB8"/>
    <w:rsid w:val="6422533A"/>
    <w:rsid w:val="64250284"/>
    <w:rsid w:val="64274C97"/>
    <w:rsid w:val="64303A85"/>
    <w:rsid w:val="643139DD"/>
    <w:rsid w:val="643F0A9F"/>
    <w:rsid w:val="64430863"/>
    <w:rsid w:val="64516EE0"/>
    <w:rsid w:val="64592C18"/>
    <w:rsid w:val="645E1697"/>
    <w:rsid w:val="6485215C"/>
    <w:rsid w:val="648A0C75"/>
    <w:rsid w:val="64912865"/>
    <w:rsid w:val="64964A3B"/>
    <w:rsid w:val="649E7158"/>
    <w:rsid w:val="64A74441"/>
    <w:rsid w:val="64AD642F"/>
    <w:rsid w:val="64C72821"/>
    <w:rsid w:val="64C9120B"/>
    <w:rsid w:val="64DA15A4"/>
    <w:rsid w:val="64DA214C"/>
    <w:rsid w:val="64E021AE"/>
    <w:rsid w:val="64E02D2A"/>
    <w:rsid w:val="64EA52D3"/>
    <w:rsid w:val="64F80B80"/>
    <w:rsid w:val="65004D0D"/>
    <w:rsid w:val="6505279F"/>
    <w:rsid w:val="651D4C02"/>
    <w:rsid w:val="6520497D"/>
    <w:rsid w:val="65271806"/>
    <w:rsid w:val="65387D1C"/>
    <w:rsid w:val="655418DE"/>
    <w:rsid w:val="655854DD"/>
    <w:rsid w:val="656C1A27"/>
    <w:rsid w:val="65771143"/>
    <w:rsid w:val="657B4B43"/>
    <w:rsid w:val="65903436"/>
    <w:rsid w:val="6592183B"/>
    <w:rsid w:val="659839D8"/>
    <w:rsid w:val="659D5673"/>
    <w:rsid w:val="65B05F7A"/>
    <w:rsid w:val="65B94B6E"/>
    <w:rsid w:val="65C50900"/>
    <w:rsid w:val="65CD3F89"/>
    <w:rsid w:val="65D422AE"/>
    <w:rsid w:val="65D46F40"/>
    <w:rsid w:val="65D827D6"/>
    <w:rsid w:val="65ED74CD"/>
    <w:rsid w:val="65F37A59"/>
    <w:rsid w:val="65F7798C"/>
    <w:rsid w:val="65FD5B9A"/>
    <w:rsid w:val="66016BD4"/>
    <w:rsid w:val="66033A07"/>
    <w:rsid w:val="66087250"/>
    <w:rsid w:val="66151CF2"/>
    <w:rsid w:val="661553D7"/>
    <w:rsid w:val="661C6DE0"/>
    <w:rsid w:val="661D58C3"/>
    <w:rsid w:val="662522C4"/>
    <w:rsid w:val="6627494F"/>
    <w:rsid w:val="66276B3F"/>
    <w:rsid w:val="662A779D"/>
    <w:rsid w:val="6641024D"/>
    <w:rsid w:val="664171DE"/>
    <w:rsid w:val="66651C7E"/>
    <w:rsid w:val="66662F67"/>
    <w:rsid w:val="667026EF"/>
    <w:rsid w:val="667F1D60"/>
    <w:rsid w:val="66801C24"/>
    <w:rsid w:val="66831804"/>
    <w:rsid w:val="66840525"/>
    <w:rsid w:val="6686362B"/>
    <w:rsid w:val="668D2323"/>
    <w:rsid w:val="668E3D89"/>
    <w:rsid w:val="668F7F74"/>
    <w:rsid w:val="66906237"/>
    <w:rsid w:val="669A35B4"/>
    <w:rsid w:val="669E5D77"/>
    <w:rsid w:val="66A57EE0"/>
    <w:rsid w:val="66A70A1C"/>
    <w:rsid w:val="66A97C74"/>
    <w:rsid w:val="66B275C8"/>
    <w:rsid w:val="66B43005"/>
    <w:rsid w:val="66B4692B"/>
    <w:rsid w:val="66B65CF8"/>
    <w:rsid w:val="66C07772"/>
    <w:rsid w:val="66C1590D"/>
    <w:rsid w:val="66CE1031"/>
    <w:rsid w:val="66D44750"/>
    <w:rsid w:val="66E33270"/>
    <w:rsid w:val="66E34D5D"/>
    <w:rsid w:val="67057F6D"/>
    <w:rsid w:val="67275892"/>
    <w:rsid w:val="672E2785"/>
    <w:rsid w:val="67416F90"/>
    <w:rsid w:val="67520200"/>
    <w:rsid w:val="67590A9E"/>
    <w:rsid w:val="675B6D80"/>
    <w:rsid w:val="67712670"/>
    <w:rsid w:val="677323A8"/>
    <w:rsid w:val="67772E19"/>
    <w:rsid w:val="67801C7D"/>
    <w:rsid w:val="678240D7"/>
    <w:rsid w:val="678C4ABC"/>
    <w:rsid w:val="6797342C"/>
    <w:rsid w:val="679751A9"/>
    <w:rsid w:val="679947CE"/>
    <w:rsid w:val="67A20A1D"/>
    <w:rsid w:val="67AA4D47"/>
    <w:rsid w:val="67B14DC5"/>
    <w:rsid w:val="67BB1E9C"/>
    <w:rsid w:val="67BE61F7"/>
    <w:rsid w:val="67C36934"/>
    <w:rsid w:val="67C915CB"/>
    <w:rsid w:val="67D11E2C"/>
    <w:rsid w:val="67D26208"/>
    <w:rsid w:val="67D81EE1"/>
    <w:rsid w:val="67E95421"/>
    <w:rsid w:val="67FA4CBC"/>
    <w:rsid w:val="68001455"/>
    <w:rsid w:val="680D0290"/>
    <w:rsid w:val="68174358"/>
    <w:rsid w:val="68273D29"/>
    <w:rsid w:val="682E1417"/>
    <w:rsid w:val="683045A7"/>
    <w:rsid w:val="68402DB8"/>
    <w:rsid w:val="68434C03"/>
    <w:rsid w:val="68442CB0"/>
    <w:rsid w:val="68446C6A"/>
    <w:rsid w:val="684F1764"/>
    <w:rsid w:val="68574FC0"/>
    <w:rsid w:val="68582C50"/>
    <w:rsid w:val="68664E14"/>
    <w:rsid w:val="68696CF2"/>
    <w:rsid w:val="68706166"/>
    <w:rsid w:val="68791F6C"/>
    <w:rsid w:val="687B6CA0"/>
    <w:rsid w:val="6881124B"/>
    <w:rsid w:val="68816DD7"/>
    <w:rsid w:val="68830E63"/>
    <w:rsid w:val="68896107"/>
    <w:rsid w:val="68902987"/>
    <w:rsid w:val="68912E07"/>
    <w:rsid w:val="68955C7A"/>
    <w:rsid w:val="689611CC"/>
    <w:rsid w:val="689C7704"/>
    <w:rsid w:val="68A63F14"/>
    <w:rsid w:val="68B5540B"/>
    <w:rsid w:val="68B90DCC"/>
    <w:rsid w:val="68C944DD"/>
    <w:rsid w:val="68CB4BFC"/>
    <w:rsid w:val="68CB576F"/>
    <w:rsid w:val="68D03EEA"/>
    <w:rsid w:val="68D3589E"/>
    <w:rsid w:val="68D96754"/>
    <w:rsid w:val="68DF4792"/>
    <w:rsid w:val="68E81939"/>
    <w:rsid w:val="68EC23F8"/>
    <w:rsid w:val="68F26960"/>
    <w:rsid w:val="690F1210"/>
    <w:rsid w:val="69124AA3"/>
    <w:rsid w:val="6926625C"/>
    <w:rsid w:val="693808C1"/>
    <w:rsid w:val="69401599"/>
    <w:rsid w:val="69450D02"/>
    <w:rsid w:val="69471124"/>
    <w:rsid w:val="694B397D"/>
    <w:rsid w:val="69537849"/>
    <w:rsid w:val="69612CCE"/>
    <w:rsid w:val="69723986"/>
    <w:rsid w:val="697A5991"/>
    <w:rsid w:val="697B7571"/>
    <w:rsid w:val="69820553"/>
    <w:rsid w:val="6984716D"/>
    <w:rsid w:val="69935D97"/>
    <w:rsid w:val="699938E7"/>
    <w:rsid w:val="69B476AF"/>
    <w:rsid w:val="69B762C4"/>
    <w:rsid w:val="69BC0E9F"/>
    <w:rsid w:val="69BC74B0"/>
    <w:rsid w:val="69BC78BF"/>
    <w:rsid w:val="69C24B8F"/>
    <w:rsid w:val="69C27F6A"/>
    <w:rsid w:val="69D02335"/>
    <w:rsid w:val="69D34F8C"/>
    <w:rsid w:val="69D775FB"/>
    <w:rsid w:val="69D83AE5"/>
    <w:rsid w:val="69D95476"/>
    <w:rsid w:val="69D9564B"/>
    <w:rsid w:val="69E91C13"/>
    <w:rsid w:val="69EB00CC"/>
    <w:rsid w:val="69F30D81"/>
    <w:rsid w:val="69F32330"/>
    <w:rsid w:val="69F50BA8"/>
    <w:rsid w:val="69F75C6F"/>
    <w:rsid w:val="69FA0BC7"/>
    <w:rsid w:val="6A021FC3"/>
    <w:rsid w:val="6A101248"/>
    <w:rsid w:val="6A2273C7"/>
    <w:rsid w:val="6A2C60D6"/>
    <w:rsid w:val="6A306539"/>
    <w:rsid w:val="6A320665"/>
    <w:rsid w:val="6A392B87"/>
    <w:rsid w:val="6A47687E"/>
    <w:rsid w:val="6A553D57"/>
    <w:rsid w:val="6A5B58CB"/>
    <w:rsid w:val="6A621BA5"/>
    <w:rsid w:val="6A687B85"/>
    <w:rsid w:val="6A7D7447"/>
    <w:rsid w:val="6A810586"/>
    <w:rsid w:val="6A836FD5"/>
    <w:rsid w:val="6A850B98"/>
    <w:rsid w:val="6A8528C2"/>
    <w:rsid w:val="6A8C23BC"/>
    <w:rsid w:val="6A9A5453"/>
    <w:rsid w:val="6ABB20D6"/>
    <w:rsid w:val="6AC125C9"/>
    <w:rsid w:val="6ACB1246"/>
    <w:rsid w:val="6ACE344E"/>
    <w:rsid w:val="6ADF0073"/>
    <w:rsid w:val="6AE07248"/>
    <w:rsid w:val="6AE11B32"/>
    <w:rsid w:val="6AEB2567"/>
    <w:rsid w:val="6AFF355C"/>
    <w:rsid w:val="6B07013F"/>
    <w:rsid w:val="6B0C59FF"/>
    <w:rsid w:val="6B152619"/>
    <w:rsid w:val="6B1F3D92"/>
    <w:rsid w:val="6B307A5C"/>
    <w:rsid w:val="6B381945"/>
    <w:rsid w:val="6B3B79CD"/>
    <w:rsid w:val="6B446BF4"/>
    <w:rsid w:val="6B501C24"/>
    <w:rsid w:val="6B5A44B5"/>
    <w:rsid w:val="6B5B149E"/>
    <w:rsid w:val="6B5B3994"/>
    <w:rsid w:val="6B5E67E7"/>
    <w:rsid w:val="6B646BFC"/>
    <w:rsid w:val="6B7E3B06"/>
    <w:rsid w:val="6B8336C1"/>
    <w:rsid w:val="6B8C2311"/>
    <w:rsid w:val="6B9467C6"/>
    <w:rsid w:val="6B952E58"/>
    <w:rsid w:val="6B965ADC"/>
    <w:rsid w:val="6B966FC1"/>
    <w:rsid w:val="6B9771DB"/>
    <w:rsid w:val="6B9F1168"/>
    <w:rsid w:val="6BA32D41"/>
    <w:rsid w:val="6BB41CB3"/>
    <w:rsid w:val="6BC515A7"/>
    <w:rsid w:val="6BCC4D83"/>
    <w:rsid w:val="6BDA6FF1"/>
    <w:rsid w:val="6BEB798C"/>
    <w:rsid w:val="6BF15787"/>
    <w:rsid w:val="6BFC26F7"/>
    <w:rsid w:val="6BFF75ED"/>
    <w:rsid w:val="6C03000C"/>
    <w:rsid w:val="6C125E5E"/>
    <w:rsid w:val="6C1F447D"/>
    <w:rsid w:val="6C22651F"/>
    <w:rsid w:val="6C295792"/>
    <w:rsid w:val="6C33398F"/>
    <w:rsid w:val="6C412C13"/>
    <w:rsid w:val="6C480000"/>
    <w:rsid w:val="6C551F5E"/>
    <w:rsid w:val="6C5535CB"/>
    <w:rsid w:val="6C587DC4"/>
    <w:rsid w:val="6C5E5C97"/>
    <w:rsid w:val="6C607905"/>
    <w:rsid w:val="6C7720FB"/>
    <w:rsid w:val="6C793A4C"/>
    <w:rsid w:val="6C801312"/>
    <w:rsid w:val="6C836CFE"/>
    <w:rsid w:val="6C8A3C3A"/>
    <w:rsid w:val="6C8E764D"/>
    <w:rsid w:val="6C917866"/>
    <w:rsid w:val="6C926456"/>
    <w:rsid w:val="6C9A0F15"/>
    <w:rsid w:val="6CA45515"/>
    <w:rsid w:val="6CA930A2"/>
    <w:rsid w:val="6CAD6A6B"/>
    <w:rsid w:val="6CB513A0"/>
    <w:rsid w:val="6CB7624D"/>
    <w:rsid w:val="6CBA486D"/>
    <w:rsid w:val="6CC10505"/>
    <w:rsid w:val="6CC241A4"/>
    <w:rsid w:val="6CCA3FC4"/>
    <w:rsid w:val="6CCF4F38"/>
    <w:rsid w:val="6CD60869"/>
    <w:rsid w:val="6CD67DCE"/>
    <w:rsid w:val="6CD91D3E"/>
    <w:rsid w:val="6CDA3553"/>
    <w:rsid w:val="6CE21B08"/>
    <w:rsid w:val="6D007499"/>
    <w:rsid w:val="6D1551A7"/>
    <w:rsid w:val="6D2010FE"/>
    <w:rsid w:val="6D2365A7"/>
    <w:rsid w:val="6D2F6144"/>
    <w:rsid w:val="6D350EDA"/>
    <w:rsid w:val="6D3F110F"/>
    <w:rsid w:val="6D465474"/>
    <w:rsid w:val="6D4B11E3"/>
    <w:rsid w:val="6D5368D1"/>
    <w:rsid w:val="6D552577"/>
    <w:rsid w:val="6D574019"/>
    <w:rsid w:val="6D596718"/>
    <w:rsid w:val="6D5A5C60"/>
    <w:rsid w:val="6D5E551E"/>
    <w:rsid w:val="6D6B47BC"/>
    <w:rsid w:val="6D7A3541"/>
    <w:rsid w:val="6D826422"/>
    <w:rsid w:val="6D826B91"/>
    <w:rsid w:val="6D833D7C"/>
    <w:rsid w:val="6D852E91"/>
    <w:rsid w:val="6D8D02E2"/>
    <w:rsid w:val="6D8E1207"/>
    <w:rsid w:val="6D8F21CA"/>
    <w:rsid w:val="6D9708D8"/>
    <w:rsid w:val="6D984A40"/>
    <w:rsid w:val="6D9D5C8D"/>
    <w:rsid w:val="6DA90638"/>
    <w:rsid w:val="6DA947D5"/>
    <w:rsid w:val="6DAC0BA9"/>
    <w:rsid w:val="6DB954B0"/>
    <w:rsid w:val="6DBD60EA"/>
    <w:rsid w:val="6DCD55BF"/>
    <w:rsid w:val="6DCE231B"/>
    <w:rsid w:val="6DD27586"/>
    <w:rsid w:val="6DD4772B"/>
    <w:rsid w:val="6DD87672"/>
    <w:rsid w:val="6DDB1CCD"/>
    <w:rsid w:val="6DEC3D0F"/>
    <w:rsid w:val="6DF60E32"/>
    <w:rsid w:val="6E037F8A"/>
    <w:rsid w:val="6E042888"/>
    <w:rsid w:val="6E056FE9"/>
    <w:rsid w:val="6E060FCD"/>
    <w:rsid w:val="6E100AAC"/>
    <w:rsid w:val="6E1538B6"/>
    <w:rsid w:val="6E192A62"/>
    <w:rsid w:val="6E315904"/>
    <w:rsid w:val="6E3F287D"/>
    <w:rsid w:val="6E470CA8"/>
    <w:rsid w:val="6E4D18B9"/>
    <w:rsid w:val="6E4E0337"/>
    <w:rsid w:val="6E5650D8"/>
    <w:rsid w:val="6E583DB1"/>
    <w:rsid w:val="6E6F1F09"/>
    <w:rsid w:val="6E7F312D"/>
    <w:rsid w:val="6E815A27"/>
    <w:rsid w:val="6E87140F"/>
    <w:rsid w:val="6E8C39F1"/>
    <w:rsid w:val="6E9B7E8E"/>
    <w:rsid w:val="6EA94852"/>
    <w:rsid w:val="6EAC2421"/>
    <w:rsid w:val="6EB051AE"/>
    <w:rsid w:val="6EC44AE1"/>
    <w:rsid w:val="6ECB42F4"/>
    <w:rsid w:val="6ED63AFA"/>
    <w:rsid w:val="6EDB6038"/>
    <w:rsid w:val="6EEB167E"/>
    <w:rsid w:val="6EEB7C22"/>
    <w:rsid w:val="6EFF0771"/>
    <w:rsid w:val="6F243A65"/>
    <w:rsid w:val="6F2F6831"/>
    <w:rsid w:val="6F2F7DDF"/>
    <w:rsid w:val="6F337E8F"/>
    <w:rsid w:val="6F37381E"/>
    <w:rsid w:val="6F39064B"/>
    <w:rsid w:val="6F390EEC"/>
    <w:rsid w:val="6F493392"/>
    <w:rsid w:val="6F5E6853"/>
    <w:rsid w:val="6F5E78EC"/>
    <w:rsid w:val="6F794F5C"/>
    <w:rsid w:val="6F7C0EEB"/>
    <w:rsid w:val="6F8113DC"/>
    <w:rsid w:val="6F814B62"/>
    <w:rsid w:val="6F8F2F6C"/>
    <w:rsid w:val="6F9306BA"/>
    <w:rsid w:val="6F9A253A"/>
    <w:rsid w:val="6FCD04B2"/>
    <w:rsid w:val="6FCE2126"/>
    <w:rsid w:val="6FD011A9"/>
    <w:rsid w:val="6FD36D13"/>
    <w:rsid w:val="6FDF444E"/>
    <w:rsid w:val="6FFA2E0A"/>
    <w:rsid w:val="700707DA"/>
    <w:rsid w:val="700810C8"/>
    <w:rsid w:val="700B445F"/>
    <w:rsid w:val="700D177E"/>
    <w:rsid w:val="700F6B4F"/>
    <w:rsid w:val="7012366E"/>
    <w:rsid w:val="701E00AC"/>
    <w:rsid w:val="7024404C"/>
    <w:rsid w:val="7027125A"/>
    <w:rsid w:val="70360EAB"/>
    <w:rsid w:val="70425D7E"/>
    <w:rsid w:val="705A7FCE"/>
    <w:rsid w:val="706924AF"/>
    <w:rsid w:val="707141E2"/>
    <w:rsid w:val="70754F88"/>
    <w:rsid w:val="70785F16"/>
    <w:rsid w:val="70814D75"/>
    <w:rsid w:val="70896DBA"/>
    <w:rsid w:val="70997D7F"/>
    <w:rsid w:val="709A59CB"/>
    <w:rsid w:val="70AA036F"/>
    <w:rsid w:val="70D02BEB"/>
    <w:rsid w:val="70DE18FD"/>
    <w:rsid w:val="70DF099E"/>
    <w:rsid w:val="70E91D01"/>
    <w:rsid w:val="70EB4037"/>
    <w:rsid w:val="70F30049"/>
    <w:rsid w:val="70F4014A"/>
    <w:rsid w:val="71012DD4"/>
    <w:rsid w:val="7102482F"/>
    <w:rsid w:val="710574E5"/>
    <w:rsid w:val="71265550"/>
    <w:rsid w:val="712A1CF4"/>
    <w:rsid w:val="712E03EA"/>
    <w:rsid w:val="713D0C3C"/>
    <w:rsid w:val="71491DE8"/>
    <w:rsid w:val="714B3016"/>
    <w:rsid w:val="714F4538"/>
    <w:rsid w:val="7157743E"/>
    <w:rsid w:val="715C27F9"/>
    <w:rsid w:val="71612AF2"/>
    <w:rsid w:val="716B14F3"/>
    <w:rsid w:val="716C1B76"/>
    <w:rsid w:val="717A1511"/>
    <w:rsid w:val="717E09B9"/>
    <w:rsid w:val="718045D7"/>
    <w:rsid w:val="719A0574"/>
    <w:rsid w:val="719E7708"/>
    <w:rsid w:val="71BE4970"/>
    <w:rsid w:val="71C67AD6"/>
    <w:rsid w:val="71D4142B"/>
    <w:rsid w:val="71DB2674"/>
    <w:rsid w:val="71DB2C1D"/>
    <w:rsid w:val="71DF7919"/>
    <w:rsid w:val="71E26C50"/>
    <w:rsid w:val="71ED3E83"/>
    <w:rsid w:val="71FF7D25"/>
    <w:rsid w:val="720013A7"/>
    <w:rsid w:val="72005E0A"/>
    <w:rsid w:val="720319AE"/>
    <w:rsid w:val="72083075"/>
    <w:rsid w:val="720B34D7"/>
    <w:rsid w:val="720D2513"/>
    <w:rsid w:val="7213068B"/>
    <w:rsid w:val="7232161C"/>
    <w:rsid w:val="723349E7"/>
    <w:rsid w:val="723C157F"/>
    <w:rsid w:val="72482021"/>
    <w:rsid w:val="724A352E"/>
    <w:rsid w:val="724B3C41"/>
    <w:rsid w:val="724E6A20"/>
    <w:rsid w:val="72640690"/>
    <w:rsid w:val="726879BB"/>
    <w:rsid w:val="726C2CA7"/>
    <w:rsid w:val="727B66FE"/>
    <w:rsid w:val="727C1D3D"/>
    <w:rsid w:val="727C679C"/>
    <w:rsid w:val="72812900"/>
    <w:rsid w:val="728A165E"/>
    <w:rsid w:val="728D6880"/>
    <w:rsid w:val="728D778A"/>
    <w:rsid w:val="728D7BA0"/>
    <w:rsid w:val="729476EA"/>
    <w:rsid w:val="7299627A"/>
    <w:rsid w:val="72A1496B"/>
    <w:rsid w:val="72A31418"/>
    <w:rsid w:val="72AC2C8B"/>
    <w:rsid w:val="72AF3D44"/>
    <w:rsid w:val="72B52A4F"/>
    <w:rsid w:val="72B55C86"/>
    <w:rsid w:val="72BA6631"/>
    <w:rsid w:val="72CC46C8"/>
    <w:rsid w:val="72CD26E6"/>
    <w:rsid w:val="72CF2BEB"/>
    <w:rsid w:val="72D7393C"/>
    <w:rsid w:val="72DA702B"/>
    <w:rsid w:val="72E516A6"/>
    <w:rsid w:val="72E65BBB"/>
    <w:rsid w:val="72F317AA"/>
    <w:rsid w:val="73055D1C"/>
    <w:rsid w:val="7308227C"/>
    <w:rsid w:val="7314673D"/>
    <w:rsid w:val="731B7A25"/>
    <w:rsid w:val="731C21FE"/>
    <w:rsid w:val="73203D30"/>
    <w:rsid w:val="73205C90"/>
    <w:rsid w:val="732F2A31"/>
    <w:rsid w:val="73393925"/>
    <w:rsid w:val="73397961"/>
    <w:rsid w:val="733B3174"/>
    <w:rsid w:val="7340767B"/>
    <w:rsid w:val="73452559"/>
    <w:rsid w:val="734565DA"/>
    <w:rsid w:val="73477EA4"/>
    <w:rsid w:val="734A3103"/>
    <w:rsid w:val="73556E87"/>
    <w:rsid w:val="735A2D35"/>
    <w:rsid w:val="73641B22"/>
    <w:rsid w:val="7370260C"/>
    <w:rsid w:val="73747086"/>
    <w:rsid w:val="73823DE2"/>
    <w:rsid w:val="7383186C"/>
    <w:rsid w:val="739A6444"/>
    <w:rsid w:val="739E0BB1"/>
    <w:rsid w:val="739E329F"/>
    <w:rsid w:val="73A81E07"/>
    <w:rsid w:val="73AB0E07"/>
    <w:rsid w:val="73AD790E"/>
    <w:rsid w:val="73B34925"/>
    <w:rsid w:val="73BA571D"/>
    <w:rsid w:val="73C3079F"/>
    <w:rsid w:val="73C774F9"/>
    <w:rsid w:val="73C7752E"/>
    <w:rsid w:val="73CA0F0B"/>
    <w:rsid w:val="73D33D25"/>
    <w:rsid w:val="73D63EDC"/>
    <w:rsid w:val="73DD11A1"/>
    <w:rsid w:val="73E1438B"/>
    <w:rsid w:val="73E56059"/>
    <w:rsid w:val="73EA3F05"/>
    <w:rsid w:val="73FB2E22"/>
    <w:rsid w:val="73FC7E06"/>
    <w:rsid w:val="740562FC"/>
    <w:rsid w:val="74063364"/>
    <w:rsid w:val="74140D0B"/>
    <w:rsid w:val="741F112C"/>
    <w:rsid w:val="74220A42"/>
    <w:rsid w:val="7439460F"/>
    <w:rsid w:val="74395C98"/>
    <w:rsid w:val="743B2BAC"/>
    <w:rsid w:val="74404BBB"/>
    <w:rsid w:val="745010D9"/>
    <w:rsid w:val="745A1F14"/>
    <w:rsid w:val="74642F0F"/>
    <w:rsid w:val="74664C7D"/>
    <w:rsid w:val="746B46E0"/>
    <w:rsid w:val="746E18B6"/>
    <w:rsid w:val="746E1960"/>
    <w:rsid w:val="74727C68"/>
    <w:rsid w:val="74765AAD"/>
    <w:rsid w:val="748401FD"/>
    <w:rsid w:val="748A4DA5"/>
    <w:rsid w:val="749A0D4D"/>
    <w:rsid w:val="74A11D81"/>
    <w:rsid w:val="74A446A5"/>
    <w:rsid w:val="74A60C6D"/>
    <w:rsid w:val="74A92490"/>
    <w:rsid w:val="74AE3290"/>
    <w:rsid w:val="74B34A2E"/>
    <w:rsid w:val="74B36BF7"/>
    <w:rsid w:val="74B67F6C"/>
    <w:rsid w:val="74B86831"/>
    <w:rsid w:val="74BF5DE4"/>
    <w:rsid w:val="74C04206"/>
    <w:rsid w:val="74CB507C"/>
    <w:rsid w:val="74D9653F"/>
    <w:rsid w:val="74DF2CC3"/>
    <w:rsid w:val="74E0598D"/>
    <w:rsid w:val="74E22E80"/>
    <w:rsid w:val="74F40B0F"/>
    <w:rsid w:val="74F63CC4"/>
    <w:rsid w:val="75023625"/>
    <w:rsid w:val="751301EA"/>
    <w:rsid w:val="75160116"/>
    <w:rsid w:val="752046EA"/>
    <w:rsid w:val="752E2E03"/>
    <w:rsid w:val="75323F45"/>
    <w:rsid w:val="75396DE8"/>
    <w:rsid w:val="75453ABE"/>
    <w:rsid w:val="75471988"/>
    <w:rsid w:val="754B36F5"/>
    <w:rsid w:val="75517147"/>
    <w:rsid w:val="75610F02"/>
    <w:rsid w:val="75673397"/>
    <w:rsid w:val="756D317B"/>
    <w:rsid w:val="75703E84"/>
    <w:rsid w:val="75715E5E"/>
    <w:rsid w:val="757D7EBF"/>
    <w:rsid w:val="758468FF"/>
    <w:rsid w:val="75957FC9"/>
    <w:rsid w:val="75AD1FDB"/>
    <w:rsid w:val="75C07680"/>
    <w:rsid w:val="75C61AFB"/>
    <w:rsid w:val="75C6224D"/>
    <w:rsid w:val="75C6714E"/>
    <w:rsid w:val="75CD5056"/>
    <w:rsid w:val="75D221C3"/>
    <w:rsid w:val="75D803FD"/>
    <w:rsid w:val="75DB381C"/>
    <w:rsid w:val="75E03433"/>
    <w:rsid w:val="75EA1EDA"/>
    <w:rsid w:val="76007EBD"/>
    <w:rsid w:val="76070A73"/>
    <w:rsid w:val="762518E4"/>
    <w:rsid w:val="76254B98"/>
    <w:rsid w:val="76362CE7"/>
    <w:rsid w:val="76520C60"/>
    <w:rsid w:val="765909D2"/>
    <w:rsid w:val="765E517D"/>
    <w:rsid w:val="76666AC1"/>
    <w:rsid w:val="766738FD"/>
    <w:rsid w:val="766D720C"/>
    <w:rsid w:val="768172D3"/>
    <w:rsid w:val="768406C2"/>
    <w:rsid w:val="76860B91"/>
    <w:rsid w:val="76883E4D"/>
    <w:rsid w:val="768F5D86"/>
    <w:rsid w:val="76952197"/>
    <w:rsid w:val="769E139C"/>
    <w:rsid w:val="76A51622"/>
    <w:rsid w:val="76AA3C35"/>
    <w:rsid w:val="76AC037F"/>
    <w:rsid w:val="76AC1459"/>
    <w:rsid w:val="76BC62F6"/>
    <w:rsid w:val="76BE7125"/>
    <w:rsid w:val="76C16466"/>
    <w:rsid w:val="76CF000B"/>
    <w:rsid w:val="76D16CD5"/>
    <w:rsid w:val="76D63C37"/>
    <w:rsid w:val="76DC43C5"/>
    <w:rsid w:val="76E722C3"/>
    <w:rsid w:val="77070864"/>
    <w:rsid w:val="77112503"/>
    <w:rsid w:val="77133CBC"/>
    <w:rsid w:val="773C6629"/>
    <w:rsid w:val="773E50EF"/>
    <w:rsid w:val="774609BE"/>
    <w:rsid w:val="77471F87"/>
    <w:rsid w:val="774A196B"/>
    <w:rsid w:val="775F6FF6"/>
    <w:rsid w:val="776D7A9C"/>
    <w:rsid w:val="777272FA"/>
    <w:rsid w:val="77727DAD"/>
    <w:rsid w:val="77746F50"/>
    <w:rsid w:val="777515B6"/>
    <w:rsid w:val="777A0E00"/>
    <w:rsid w:val="777A67F9"/>
    <w:rsid w:val="777D2A8A"/>
    <w:rsid w:val="778C5B88"/>
    <w:rsid w:val="7798337C"/>
    <w:rsid w:val="779A7AA6"/>
    <w:rsid w:val="77A11B63"/>
    <w:rsid w:val="77A27C5F"/>
    <w:rsid w:val="77B00B44"/>
    <w:rsid w:val="77B023E4"/>
    <w:rsid w:val="77C1675F"/>
    <w:rsid w:val="77CB5C1D"/>
    <w:rsid w:val="77CD1C9A"/>
    <w:rsid w:val="77DE0C76"/>
    <w:rsid w:val="77E15AD8"/>
    <w:rsid w:val="77E91804"/>
    <w:rsid w:val="77F834CE"/>
    <w:rsid w:val="77FF4727"/>
    <w:rsid w:val="78020EA2"/>
    <w:rsid w:val="78074CAE"/>
    <w:rsid w:val="780752C5"/>
    <w:rsid w:val="780E3148"/>
    <w:rsid w:val="781A6B93"/>
    <w:rsid w:val="781D02DD"/>
    <w:rsid w:val="781D3706"/>
    <w:rsid w:val="78202F13"/>
    <w:rsid w:val="782E5438"/>
    <w:rsid w:val="78494C1F"/>
    <w:rsid w:val="784E2E28"/>
    <w:rsid w:val="785E5574"/>
    <w:rsid w:val="78603740"/>
    <w:rsid w:val="78664B15"/>
    <w:rsid w:val="786B787E"/>
    <w:rsid w:val="787D7691"/>
    <w:rsid w:val="78886892"/>
    <w:rsid w:val="78965CA3"/>
    <w:rsid w:val="789A251F"/>
    <w:rsid w:val="789A4550"/>
    <w:rsid w:val="789E3015"/>
    <w:rsid w:val="78A44E1F"/>
    <w:rsid w:val="78A56991"/>
    <w:rsid w:val="78B124E1"/>
    <w:rsid w:val="78B86738"/>
    <w:rsid w:val="78B86BEF"/>
    <w:rsid w:val="78BD6A97"/>
    <w:rsid w:val="78C85E18"/>
    <w:rsid w:val="78CC5ADB"/>
    <w:rsid w:val="78DD5C91"/>
    <w:rsid w:val="78E35F6C"/>
    <w:rsid w:val="78E36B3D"/>
    <w:rsid w:val="78E455FA"/>
    <w:rsid w:val="78EC2C9F"/>
    <w:rsid w:val="78F34B42"/>
    <w:rsid w:val="790442D7"/>
    <w:rsid w:val="79087DE3"/>
    <w:rsid w:val="790A7735"/>
    <w:rsid w:val="79204BD5"/>
    <w:rsid w:val="7924553A"/>
    <w:rsid w:val="792F6E2F"/>
    <w:rsid w:val="79344FE6"/>
    <w:rsid w:val="79350862"/>
    <w:rsid w:val="793E01A3"/>
    <w:rsid w:val="7945508F"/>
    <w:rsid w:val="794801A0"/>
    <w:rsid w:val="79484D70"/>
    <w:rsid w:val="794B50B8"/>
    <w:rsid w:val="795B0EE7"/>
    <w:rsid w:val="79634983"/>
    <w:rsid w:val="79662A9E"/>
    <w:rsid w:val="796F2952"/>
    <w:rsid w:val="79746DB1"/>
    <w:rsid w:val="797E5E8B"/>
    <w:rsid w:val="7980425B"/>
    <w:rsid w:val="79931CDB"/>
    <w:rsid w:val="79932A3B"/>
    <w:rsid w:val="79992C71"/>
    <w:rsid w:val="799E68FA"/>
    <w:rsid w:val="799F628B"/>
    <w:rsid w:val="79A6424B"/>
    <w:rsid w:val="79A67851"/>
    <w:rsid w:val="79AC0443"/>
    <w:rsid w:val="79B01FB8"/>
    <w:rsid w:val="79B02E2D"/>
    <w:rsid w:val="79B65CDA"/>
    <w:rsid w:val="79DC174B"/>
    <w:rsid w:val="79E84136"/>
    <w:rsid w:val="79E976DE"/>
    <w:rsid w:val="79EF59B7"/>
    <w:rsid w:val="79FA1447"/>
    <w:rsid w:val="79FC1D92"/>
    <w:rsid w:val="7A101088"/>
    <w:rsid w:val="7A17123B"/>
    <w:rsid w:val="7A1B7E06"/>
    <w:rsid w:val="7A1E073D"/>
    <w:rsid w:val="7A285FD6"/>
    <w:rsid w:val="7A33197B"/>
    <w:rsid w:val="7A335A94"/>
    <w:rsid w:val="7A442C4E"/>
    <w:rsid w:val="7A4F1084"/>
    <w:rsid w:val="7A5E408C"/>
    <w:rsid w:val="7A6E5DAE"/>
    <w:rsid w:val="7A755C22"/>
    <w:rsid w:val="7A8530CA"/>
    <w:rsid w:val="7A8D09EC"/>
    <w:rsid w:val="7AA27B7F"/>
    <w:rsid w:val="7AA65A3F"/>
    <w:rsid w:val="7AA77403"/>
    <w:rsid w:val="7AB615A3"/>
    <w:rsid w:val="7AC7773E"/>
    <w:rsid w:val="7AD9040D"/>
    <w:rsid w:val="7B024E0A"/>
    <w:rsid w:val="7B0A2B60"/>
    <w:rsid w:val="7B173BFA"/>
    <w:rsid w:val="7B1B2E2F"/>
    <w:rsid w:val="7B283CBB"/>
    <w:rsid w:val="7B2E00BF"/>
    <w:rsid w:val="7B324720"/>
    <w:rsid w:val="7B350FF8"/>
    <w:rsid w:val="7B371BDA"/>
    <w:rsid w:val="7B3A3FEC"/>
    <w:rsid w:val="7B3B108A"/>
    <w:rsid w:val="7B425AA6"/>
    <w:rsid w:val="7B4502CC"/>
    <w:rsid w:val="7B5F4B11"/>
    <w:rsid w:val="7B631BE0"/>
    <w:rsid w:val="7B66585D"/>
    <w:rsid w:val="7B683EDD"/>
    <w:rsid w:val="7B691B29"/>
    <w:rsid w:val="7B7236AE"/>
    <w:rsid w:val="7B7D3F8F"/>
    <w:rsid w:val="7B840A7C"/>
    <w:rsid w:val="7B86488C"/>
    <w:rsid w:val="7B89313B"/>
    <w:rsid w:val="7B9E438E"/>
    <w:rsid w:val="7BA55D17"/>
    <w:rsid w:val="7BAA04BE"/>
    <w:rsid w:val="7BAC17CC"/>
    <w:rsid w:val="7BAC60D0"/>
    <w:rsid w:val="7BB320EC"/>
    <w:rsid w:val="7BB44C43"/>
    <w:rsid w:val="7BBE4057"/>
    <w:rsid w:val="7BC23C21"/>
    <w:rsid w:val="7BC62404"/>
    <w:rsid w:val="7BC717D6"/>
    <w:rsid w:val="7BCD3D4F"/>
    <w:rsid w:val="7BDD6AB3"/>
    <w:rsid w:val="7BE02E10"/>
    <w:rsid w:val="7BE04DDD"/>
    <w:rsid w:val="7BE37856"/>
    <w:rsid w:val="7BE72ED3"/>
    <w:rsid w:val="7BE90A4B"/>
    <w:rsid w:val="7BF273EC"/>
    <w:rsid w:val="7BF4659F"/>
    <w:rsid w:val="7BF515D8"/>
    <w:rsid w:val="7C0C5C91"/>
    <w:rsid w:val="7C167FD9"/>
    <w:rsid w:val="7C1E4F88"/>
    <w:rsid w:val="7C1E6E91"/>
    <w:rsid w:val="7C223A75"/>
    <w:rsid w:val="7C382B0D"/>
    <w:rsid w:val="7C3D1016"/>
    <w:rsid w:val="7C4E31EB"/>
    <w:rsid w:val="7C67590B"/>
    <w:rsid w:val="7C6D283F"/>
    <w:rsid w:val="7C731784"/>
    <w:rsid w:val="7C7B0591"/>
    <w:rsid w:val="7C7D5569"/>
    <w:rsid w:val="7C832B34"/>
    <w:rsid w:val="7C8C492C"/>
    <w:rsid w:val="7C8E1B1D"/>
    <w:rsid w:val="7CA20A44"/>
    <w:rsid w:val="7CA212A3"/>
    <w:rsid w:val="7CA91F06"/>
    <w:rsid w:val="7CAA6D66"/>
    <w:rsid w:val="7CBE6FF4"/>
    <w:rsid w:val="7CBF34D4"/>
    <w:rsid w:val="7CBF68C2"/>
    <w:rsid w:val="7CC41864"/>
    <w:rsid w:val="7CD32C56"/>
    <w:rsid w:val="7CE67815"/>
    <w:rsid w:val="7CEE23A4"/>
    <w:rsid w:val="7CF0747A"/>
    <w:rsid w:val="7CF610AF"/>
    <w:rsid w:val="7CFD4C29"/>
    <w:rsid w:val="7D0067B0"/>
    <w:rsid w:val="7D05213C"/>
    <w:rsid w:val="7D195877"/>
    <w:rsid w:val="7D2C1F94"/>
    <w:rsid w:val="7D4027E1"/>
    <w:rsid w:val="7D467BC8"/>
    <w:rsid w:val="7D4818D1"/>
    <w:rsid w:val="7D491AE1"/>
    <w:rsid w:val="7D4F4844"/>
    <w:rsid w:val="7D5326DD"/>
    <w:rsid w:val="7D557938"/>
    <w:rsid w:val="7D626F81"/>
    <w:rsid w:val="7D7139B0"/>
    <w:rsid w:val="7D793135"/>
    <w:rsid w:val="7D906833"/>
    <w:rsid w:val="7D907661"/>
    <w:rsid w:val="7D9752B7"/>
    <w:rsid w:val="7DA17FB8"/>
    <w:rsid w:val="7DA93A1E"/>
    <w:rsid w:val="7DAA05D1"/>
    <w:rsid w:val="7DBC3341"/>
    <w:rsid w:val="7DD31E09"/>
    <w:rsid w:val="7DF240B5"/>
    <w:rsid w:val="7DF94CE0"/>
    <w:rsid w:val="7DF97B76"/>
    <w:rsid w:val="7DFA5507"/>
    <w:rsid w:val="7DFB7FA5"/>
    <w:rsid w:val="7DFD0EF5"/>
    <w:rsid w:val="7E086896"/>
    <w:rsid w:val="7E0A3E88"/>
    <w:rsid w:val="7E0C27F1"/>
    <w:rsid w:val="7E0D1ECA"/>
    <w:rsid w:val="7E0D6A23"/>
    <w:rsid w:val="7E17483F"/>
    <w:rsid w:val="7E1C6375"/>
    <w:rsid w:val="7E1F1635"/>
    <w:rsid w:val="7E2240D0"/>
    <w:rsid w:val="7E2A2797"/>
    <w:rsid w:val="7E2A2C83"/>
    <w:rsid w:val="7E493406"/>
    <w:rsid w:val="7E4B4BA2"/>
    <w:rsid w:val="7E4D4C56"/>
    <w:rsid w:val="7E541923"/>
    <w:rsid w:val="7E5745A1"/>
    <w:rsid w:val="7E582196"/>
    <w:rsid w:val="7E722E74"/>
    <w:rsid w:val="7E773463"/>
    <w:rsid w:val="7E786A6D"/>
    <w:rsid w:val="7E795BB1"/>
    <w:rsid w:val="7E7D6BAE"/>
    <w:rsid w:val="7E802D2F"/>
    <w:rsid w:val="7E8A0CE3"/>
    <w:rsid w:val="7E8B60C7"/>
    <w:rsid w:val="7E922668"/>
    <w:rsid w:val="7E922F21"/>
    <w:rsid w:val="7E985801"/>
    <w:rsid w:val="7EA46126"/>
    <w:rsid w:val="7EA52563"/>
    <w:rsid w:val="7EC21EDD"/>
    <w:rsid w:val="7EC6169B"/>
    <w:rsid w:val="7ECF308A"/>
    <w:rsid w:val="7ED03351"/>
    <w:rsid w:val="7ED11520"/>
    <w:rsid w:val="7EF358C8"/>
    <w:rsid w:val="7EF542D2"/>
    <w:rsid w:val="7EFA3422"/>
    <w:rsid w:val="7EFF3213"/>
    <w:rsid w:val="7F054E48"/>
    <w:rsid w:val="7F080B72"/>
    <w:rsid w:val="7F0F654B"/>
    <w:rsid w:val="7F13755C"/>
    <w:rsid w:val="7F147CA4"/>
    <w:rsid w:val="7F197517"/>
    <w:rsid w:val="7F266FA5"/>
    <w:rsid w:val="7F4962D7"/>
    <w:rsid w:val="7F4E3621"/>
    <w:rsid w:val="7F4E384F"/>
    <w:rsid w:val="7F5905ED"/>
    <w:rsid w:val="7F6E59B7"/>
    <w:rsid w:val="7F6E7698"/>
    <w:rsid w:val="7F717161"/>
    <w:rsid w:val="7F727D15"/>
    <w:rsid w:val="7F7C44DF"/>
    <w:rsid w:val="7F873E40"/>
    <w:rsid w:val="7F9C5F66"/>
    <w:rsid w:val="7F9F4197"/>
    <w:rsid w:val="7FB25808"/>
    <w:rsid w:val="7FB47856"/>
    <w:rsid w:val="7FB7310C"/>
    <w:rsid w:val="7FC2332A"/>
    <w:rsid w:val="7FDF07E9"/>
    <w:rsid w:val="7FE5071B"/>
    <w:rsid w:val="7FF17AC6"/>
    <w:rsid w:val="7FF574EF"/>
    <w:rsid w:val="7FFD0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3"/>
    <w:basedOn w:val="1"/>
    <w:next w:val="1"/>
    <w:qFormat/>
    <w:uiPriority w:val="0"/>
    <w:pPr>
      <w:spacing w:line="420" w:lineRule="exact"/>
      <w:ind w:firstLine="280" w:firstLineChars="100"/>
      <w:outlineLvl w:val="2"/>
    </w:pPr>
    <w:rPr>
      <w:rFonts w:eastAsia="华文中宋"/>
      <w:b/>
      <w:bCs/>
      <w:kern w:val="18"/>
      <w:sz w:val="28"/>
      <w:szCs w:val="28"/>
    </w:rPr>
  </w:style>
  <w:style w:type="paragraph" w:styleId="5">
    <w:name w:val="heading 4"/>
    <w:basedOn w:val="1"/>
    <w:next w:val="1"/>
    <w:qFormat/>
    <w:uiPriority w:val="0"/>
    <w:pPr>
      <w:keepNext/>
      <w:keepLines/>
      <w:spacing w:line="420" w:lineRule="exact"/>
      <w:ind w:firstLine="561" w:firstLineChars="200"/>
      <w:outlineLvl w:val="3"/>
    </w:pPr>
    <w:rPr>
      <w:rFonts w:eastAsia="华文中宋"/>
      <w:b/>
      <w:bCs/>
      <w:sz w:val="28"/>
      <w:szCs w:val="28"/>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6">
    <w:name w:val="table of authorities"/>
    <w:basedOn w:val="1"/>
    <w:next w:val="1"/>
    <w:qFormat/>
    <w:uiPriority w:val="0"/>
    <w:pPr>
      <w:spacing w:line="360" w:lineRule="auto"/>
      <w:ind w:left="420" w:leftChars="200" w:firstLine="640" w:firstLineChars="200"/>
    </w:pPr>
    <w:rPr>
      <w:rFonts w:ascii="Times New Roman" w:hAnsi="Times New Roman"/>
      <w:sz w:val="24"/>
    </w:rPr>
  </w:style>
  <w:style w:type="paragraph" w:styleId="7">
    <w:name w:val="Normal Indent"/>
    <w:basedOn w:val="1"/>
    <w:qFormat/>
    <w:uiPriority w:val="0"/>
    <w:pPr>
      <w:ind w:firstLine="420" w:firstLineChars="200"/>
    </w:pPr>
  </w:style>
  <w:style w:type="paragraph" w:styleId="8">
    <w:name w:val="annotation text"/>
    <w:basedOn w:val="1"/>
    <w:link w:val="46"/>
    <w:qFormat/>
    <w:uiPriority w:val="0"/>
    <w:pPr>
      <w:jc w:val="left"/>
    </w:pPr>
  </w:style>
  <w:style w:type="paragraph" w:styleId="9">
    <w:name w:val="Body Text"/>
    <w:basedOn w:val="1"/>
    <w:qFormat/>
    <w:uiPriority w:val="0"/>
  </w:style>
  <w:style w:type="paragraph" w:styleId="10">
    <w:name w:val="Body Text Indent"/>
    <w:basedOn w:val="1"/>
    <w:qFormat/>
    <w:uiPriority w:val="0"/>
    <w:pPr>
      <w:ind w:firstLine="480" w:firstLineChars="200"/>
    </w:pPr>
    <w:rPr>
      <w:sz w:val="24"/>
    </w:rPr>
  </w:style>
  <w:style w:type="paragraph" w:styleId="11">
    <w:name w:val="Plain Text"/>
    <w:basedOn w:val="1"/>
    <w:link w:val="49"/>
    <w:qFormat/>
    <w:uiPriority w:val="0"/>
    <w:pPr>
      <w:widowControl/>
      <w:spacing w:before="100" w:beforeAutospacing="1" w:after="100" w:afterAutospacing="1"/>
      <w:jc w:val="left"/>
    </w:pPr>
    <w:rPr>
      <w:rFonts w:ascii="ˎ̥" w:hAnsi="ˎ̥"/>
      <w:kern w:val="0"/>
      <w:sz w:val="18"/>
      <w:szCs w:val="18"/>
    </w:rPr>
  </w:style>
  <w:style w:type="paragraph" w:styleId="12">
    <w:name w:val="Date"/>
    <w:basedOn w:val="1"/>
    <w:next w:val="1"/>
    <w:link w:val="53"/>
    <w:qFormat/>
    <w:uiPriority w:val="0"/>
    <w:pPr>
      <w:ind w:left="100" w:leftChars="2500"/>
    </w:pPr>
  </w:style>
  <w:style w:type="paragraph" w:styleId="13">
    <w:name w:val="Balloon Text"/>
    <w:basedOn w:val="1"/>
    <w:link w:val="48"/>
    <w:qFormat/>
    <w:uiPriority w:val="0"/>
    <w:rPr>
      <w:sz w:val="18"/>
      <w:szCs w:val="18"/>
    </w:r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99"/>
    <w:pPr>
      <w:jc w:val="left"/>
    </w:pPr>
    <w:rPr>
      <w:kern w:val="0"/>
      <w:sz w:val="24"/>
    </w:rPr>
  </w:style>
  <w:style w:type="paragraph" w:styleId="19">
    <w:name w:val="annotation subject"/>
    <w:basedOn w:val="8"/>
    <w:next w:val="8"/>
    <w:link w:val="47"/>
    <w:qFormat/>
    <w:uiPriority w:val="0"/>
    <w:rPr>
      <w:b/>
      <w:bCs/>
    </w:rPr>
  </w:style>
  <w:style w:type="paragraph" w:styleId="20">
    <w:name w:val="Body Text First Indent"/>
    <w:basedOn w:val="9"/>
    <w:qFormat/>
    <w:uiPriority w:val="0"/>
    <w:pPr>
      <w:spacing w:after="120"/>
      <w:ind w:firstLine="420" w:firstLineChars="100"/>
    </w:pPr>
  </w:style>
  <w:style w:type="table" w:styleId="22">
    <w:name w:val="Table Grid"/>
    <w:basedOn w:val="2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annotation reference"/>
    <w:qFormat/>
    <w:uiPriority w:val="0"/>
    <w:rPr>
      <w:sz w:val="21"/>
    </w:rPr>
  </w:style>
  <w:style w:type="paragraph" w:customStyle="1" w:styleId="25">
    <w:name w:val="表中大字"/>
    <w:basedOn w:val="1"/>
    <w:qFormat/>
    <w:uiPriority w:val="0"/>
    <w:pPr>
      <w:widowControl/>
      <w:spacing w:line="360" w:lineRule="exact"/>
      <w:jc w:val="center"/>
    </w:pPr>
    <w:rPr>
      <w:rFonts w:eastAsia="华文中宋"/>
      <w:kern w:val="0"/>
      <w:sz w:val="28"/>
      <w:szCs w:val="28"/>
    </w:rPr>
  </w:style>
  <w:style w:type="paragraph" w:customStyle="1" w:styleId="26">
    <w:name w:val="正文00"/>
    <w:basedOn w:val="1"/>
    <w:qFormat/>
    <w:uiPriority w:val="0"/>
    <w:pPr>
      <w:spacing w:line="500" w:lineRule="exact"/>
      <w:ind w:firstLine="200" w:firstLineChars="200"/>
    </w:pPr>
    <w:rPr>
      <w:sz w:val="28"/>
      <w:szCs w:val="28"/>
    </w:rPr>
  </w:style>
  <w:style w:type="paragraph" w:customStyle="1" w:styleId="27">
    <w:name w:val="!正文"/>
    <w:qFormat/>
    <w:uiPriority w:val="0"/>
    <w:pPr>
      <w:widowControl w:val="0"/>
      <w:adjustRightInd w:val="0"/>
      <w:snapToGrid w:val="0"/>
      <w:spacing w:line="360" w:lineRule="auto"/>
      <w:ind w:firstLine="200" w:firstLineChars="200"/>
      <w:jc w:val="both"/>
    </w:pPr>
    <w:rPr>
      <w:rFonts w:ascii="Times New Roman" w:hAnsi="Times New Roman" w:eastAsia="宋体" w:cs="宋体"/>
      <w:kern w:val="2"/>
      <w:sz w:val="28"/>
      <w:szCs w:val="22"/>
      <w:lang w:val="en-US" w:eastAsia="zh-CN" w:bidi="ar-SA"/>
    </w:rPr>
  </w:style>
  <w:style w:type="paragraph" w:customStyle="1" w:styleId="28">
    <w:name w:val="表格"/>
    <w:basedOn w:val="7"/>
    <w:qFormat/>
    <w:uiPriority w:val="0"/>
  </w:style>
  <w:style w:type="paragraph" w:customStyle="1" w:styleId="29">
    <w:name w:val="【正文】"/>
    <w:basedOn w:val="1"/>
    <w:link w:val="60"/>
    <w:qFormat/>
    <w:uiPriority w:val="0"/>
    <w:pPr>
      <w:spacing w:line="360" w:lineRule="auto"/>
      <w:ind w:firstLine="480" w:firstLineChars="200"/>
    </w:pPr>
    <w:rPr>
      <w:sz w:val="24"/>
    </w:rPr>
  </w:style>
  <w:style w:type="paragraph" w:customStyle="1" w:styleId="30">
    <w:name w:val="中文报告书样式"/>
    <w:basedOn w:val="1"/>
    <w:qFormat/>
    <w:uiPriority w:val="0"/>
    <w:pPr>
      <w:adjustRightInd w:val="0"/>
      <w:spacing w:line="480" w:lineRule="atLeast"/>
      <w:ind w:firstLine="482"/>
    </w:pPr>
    <w:rPr>
      <w:kern w:val="24"/>
      <w:sz w:val="24"/>
      <w:szCs w:val="20"/>
    </w:rPr>
  </w:style>
  <w:style w:type="paragraph" w:customStyle="1" w:styleId="31">
    <w:name w:val="表文"/>
    <w:basedOn w:val="1"/>
    <w:qFormat/>
    <w:uiPriority w:val="0"/>
    <w:pPr>
      <w:tabs>
        <w:tab w:val="left" w:pos="1021"/>
      </w:tabs>
      <w:spacing w:line="360" w:lineRule="auto"/>
      <w:jc w:val="center"/>
    </w:pPr>
    <w:rPr>
      <w:kern w:val="0"/>
      <w:position w:val="-24"/>
      <w:szCs w:val="21"/>
    </w:rPr>
  </w:style>
  <w:style w:type="paragraph" w:customStyle="1" w:styleId="32">
    <w:name w:val="表头"/>
    <w:basedOn w:val="1"/>
    <w:qFormat/>
    <w:uiPriority w:val="0"/>
    <w:pPr>
      <w:widowControl/>
      <w:tabs>
        <w:tab w:val="left" w:pos="8207"/>
      </w:tabs>
      <w:spacing w:line="360" w:lineRule="auto"/>
      <w:jc w:val="center"/>
      <w:textAlignment w:val="baseline"/>
    </w:pPr>
    <w:rPr>
      <w:rFonts w:ascii="黑体" w:hAnsi="黑体" w:eastAsia="黑体"/>
      <w:bCs/>
      <w:sz w:val="24"/>
    </w:rPr>
  </w:style>
  <w:style w:type="paragraph" w:customStyle="1" w:styleId="33">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表中文字"/>
    <w:basedOn w:val="1"/>
    <w:link w:val="37"/>
    <w:qFormat/>
    <w:uiPriority w:val="0"/>
    <w:pPr>
      <w:jc w:val="center"/>
    </w:pPr>
    <w:rPr>
      <w:rFonts w:ascii="Times New Roman" w:hAnsi="Times New Roman"/>
    </w:rPr>
  </w:style>
  <w:style w:type="character" w:customStyle="1" w:styleId="35">
    <w:name w:val="font11"/>
    <w:basedOn w:val="23"/>
    <w:qFormat/>
    <w:uiPriority w:val="0"/>
    <w:rPr>
      <w:rFonts w:hint="default" w:ascii="Times New Roman" w:hAnsi="Times New Roman" w:cs="Times New Roman"/>
      <w:color w:val="000000"/>
      <w:sz w:val="21"/>
      <w:szCs w:val="21"/>
      <w:u w:val="none"/>
    </w:rPr>
  </w:style>
  <w:style w:type="paragraph" w:customStyle="1" w:styleId="36">
    <w:name w:val="【表中文字】"/>
    <w:basedOn w:val="1"/>
    <w:link w:val="61"/>
    <w:qFormat/>
    <w:uiPriority w:val="0"/>
    <w:pPr>
      <w:spacing w:line="380" w:lineRule="exact"/>
      <w:jc w:val="center"/>
    </w:pPr>
    <w:rPr>
      <w:rFonts w:ascii="宋体" w:hAnsi="宋体"/>
      <w:szCs w:val="20"/>
    </w:rPr>
  </w:style>
  <w:style w:type="character" w:customStyle="1" w:styleId="37">
    <w:name w:val="表中文字 Char Char"/>
    <w:link w:val="34"/>
    <w:qFormat/>
    <w:uiPriority w:val="0"/>
    <w:rPr>
      <w:rFonts w:ascii="Times New Roman" w:hAnsi="Times New Roman" w:cs="Times New Roman"/>
      <w:kern w:val="2"/>
      <w:sz w:val="21"/>
    </w:rPr>
  </w:style>
  <w:style w:type="paragraph" w:customStyle="1" w:styleId="38">
    <w:name w:val="内容"/>
    <w:basedOn w:val="1"/>
    <w:qFormat/>
    <w:uiPriority w:val="0"/>
    <w:pPr>
      <w:spacing w:before="50" w:beforeLines="50" w:after="50" w:afterLines="50"/>
      <w:ind w:firstLine="200" w:firstLineChars="200"/>
    </w:pPr>
    <w:rPr>
      <w:color w:val="000000"/>
      <w:sz w:val="24"/>
    </w:rPr>
  </w:style>
  <w:style w:type="paragraph" w:customStyle="1" w:styleId="39">
    <w:name w:val="表内文"/>
    <w:unhideWhenUsed/>
    <w:qFormat/>
    <w:uiPriority w:val="0"/>
    <w:pPr>
      <w:spacing w:line="360" w:lineRule="exact"/>
      <w:jc w:val="center"/>
    </w:pPr>
    <w:rPr>
      <w:rFonts w:hint="eastAsia" w:ascii="Times New Roman" w:hAnsi="Times New Roman" w:eastAsia="仿宋_GB2312" w:cs="Times New Roman"/>
      <w:color w:val="000000"/>
      <w:kern w:val="20"/>
      <w:sz w:val="24"/>
      <w:lang w:val="en-US" w:eastAsia="zh-CN" w:bidi="ar-SA"/>
    </w:rPr>
  </w:style>
  <w:style w:type="paragraph" w:customStyle="1" w:styleId="40">
    <w:name w:val="_Style 4"/>
    <w:qFormat/>
    <w:uiPriority w:val="1"/>
    <w:pPr>
      <w:widowControl w:val="0"/>
      <w:jc w:val="both"/>
    </w:pPr>
    <w:rPr>
      <w:rFonts w:ascii="Calibri" w:hAnsi="Calibri" w:eastAsia="仿宋_GB2312" w:cs="Times New Roman"/>
      <w:kern w:val="2"/>
      <w:sz w:val="24"/>
      <w:szCs w:val="22"/>
      <w:lang w:val="en-US" w:eastAsia="zh-CN" w:bidi="ar-SA"/>
    </w:rPr>
  </w:style>
  <w:style w:type="paragraph" w:customStyle="1" w:styleId="41">
    <w:name w:val="西红门正文"/>
    <w:basedOn w:val="1"/>
    <w:unhideWhenUsed/>
    <w:qFormat/>
    <w:uiPriority w:val="0"/>
    <w:pPr>
      <w:spacing w:line="500" w:lineRule="exact"/>
      <w:ind w:firstLine="480" w:firstLineChars="200"/>
    </w:pPr>
    <w:rPr>
      <w:sz w:val="24"/>
      <w:szCs w:val="22"/>
    </w:rPr>
  </w:style>
  <w:style w:type="paragraph" w:customStyle="1" w:styleId="42">
    <w:name w:val="表格内容"/>
    <w:basedOn w:val="1"/>
    <w:link w:val="59"/>
    <w:qFormat/>
    <w:uiPriority w:val="0"/>
    <w:pPr>
      <w:spacing w:line="240" w:lineRule="exact"/>
      <w:jc w:val="center"/>
    </w:pPr>
    <w:rPr>
      <w:rFonts w:eastAsia="Times New Roman"/>
      <w:kern w:val="0"/>
      <w:szCs w:val="21"/>
      <w:lang w:val="zh-CN"/>
    </w:rPr>
  </w:style>
  <w:style w:type="paragraph" w:customStyle="1" w:styleId="43">
    <w:name w:val="Table Paragraph"/>
    <w:basedOn w:val="1"/>
    <w:qFormat/>
    <w:uiPriority w:val="1"/>
    <w:pPr>
      <w:jc w:val="left"/>
    </w:pPr>
    <w:rPr>
      <w:kern w:val="0"/>
      <w:sz w:val="22"/>
      <w:szCs w:val="22"/>
      <w:lang w:eastAsia="en-US"/>
    </w:rPr>
  </w:style>
  <w:style w:type="paragraph" w:customStyle="1" w:styleId="44">
    <w:name w:val="正文样式"/>
    <w:basedOn w:val="1"/>
    <w:qFormat/>
    <w:uiPriority w:val="0"/>
    <w:pPr>
      <w:adjustRightInd w:val="0"/>
      <w:snapToGrid w:val="0"/>
      <w:ind w:firstLine="480" w:firstLineChars="200"/>
      <w:jc w:val="left"/>
    </w:pPr>
  </w:style>
  <w:style w:type="paragraph" w:customStyle="1" w:styleId="45">
    <w:name w:val="正文01"/>
    <w:basedOn w:val="1"/>
    <w:qFormat/>
    <w:uiPriority w:val="0"/>
    <w:pPr>
      <w:spacing w:before="60" w:line="460" w:lineRule="exact"/>
      <w:ind w:firstLine="200" w:firstLineChars="200"/>
    </w:pPr>
    <w:rPr>
      <w:snapToGrid w:val="0"/>
      <w:kern w:val="0"/>
      <w:sz w:val="24"/>
    </w:rPr>
  </w:style>
  <w:style w:type="character" w:customStyle="1" w:styleId="46">
    <w:name w:val="批注文字 Char"/>
    <w:basedOn w:val="23"/>
    <w:link w:val="8"/>
    <w:uiPriority w:val="0"/>
    <w:rPr>
      <w:rFonts w:ascii="Calibri" w:hAnsi="Calibri"/>
      <w:kern w:val="2"/>
      <w:sz w:val="21"/>
      <w:szCs w:val="24"/>
    </w:rPr>
  </w:style>
  <w:style w:type="character" w:customStyle="1" w:styleId="47">
    <w:name w:val="批注主题 Char"/>
    <w:basedOn w:val="46"/>
    <w:link w:val="19"/>
    <w:uiPriority w:val="0"/>
    <w:rPr>
      <w:rFonts w:ascii="Calibri" w:hAnsi="Calibri"/>
      <w:b/>
      <w:bCs/>
      <w:kern w:val="2"/>
      <w:sz w:val="21"/>
      <w:szCs w:val="24"/>
    </w:rPr>
  </w:style>
  <w:style w:type="character" w:customStyle="1" w:styleId="48">
    <w:name w:val="批注框文本 Char"/>
    <w:basedOn w:val="23"/>
    <w:link w:val="13"/>
    <w:qFormat/>
    <w:uiPriority w:val="0"/>
    <w:rPr>
      <w:rFonts w:ascii="Calibri" w:hAnsi="Calibri"/>
      <w:kern w:val="2"/>
      <w:sz w:val="18"/>
      <w:szCs w:val="18"/>
    </w:rPr>
  </w:style>
  <w:style w:type="character" w:customStyle="1" w:styleId="49">
    <w:name w:val="纯文本 Char"/>
    <w:link w:val="11"/>
    <w:qFormat/>
    <w:uiPriority w:val="0"/>
    <w:rPr>
      <w:rFonts w:ascii="ˎ̥" w:hAnsi="ˎ̥"/>
      <w:sz w:val="18"/>
      <w:szCs w:val="18"/>
    </w:rPr>
  </w:style>
  <w:style w:type="paragraph" w:customStyle="1" w:styleId="50">
    <w:name w:val=".表1-1-1内容"/>
    <w:basedOn w:val="1"/>
    <w:qFormat/>
    <w:uiPriority w:val="0"/>
    <w:pPr>
      <w:spacing w:line="300" w:lineRule="exact"/>
      <w:jc w:val="center"/>
    </w:pPr>
    <w:rPr>
      <w:rFonts w:ascii="Times New Roman" w:hAnsi="Times New Roman"/>
      <w:kern w:val="0"/>
      <w:szCs w:val="21"/>
    </w:rPr>
  </w:style>
  <w:style w:type="paragraph" w:customStyle="1" w:styleId="51">
    <w:name w:val="zgr正文"/>
    <w:basedOn w:val="1"/>
    <w:qFormat/>
    <w:uiPriority w:val="0"/>
    <w:pPr>
      <w:spacing w:beforeLines="50" w:line="360" w:lineRule="auto"/>
      <w:ind w:firstLine="200" w:firstLineChars="200"/>
      <w:jc w:val="left"/>
    </w:pPr>
    <w:rPr>
      <w:rFonts w:ascii="Times New Roman" w:hAnsi="Times New Roman"/>
      <w:sz w:val="24"/>
      <w:szCs w:val="28"/>
    </w:rPr>
  </w:style>
  <w:style w:type="paragraph" w:customStyle="1" w:styleId="52">
    <w:name w:val="六表内容"/>
    <w:basedOn w:val="1"/>
    <w:qFormat/>
    <w:uiPriority w:val="0"/>
    <w:pPr>
      <w:widowControl/>
      <w:spacing w:line="340" w:lineRule="exact"/>
      <w:jc w:val="center"/>
    </w:pPr>
    <w:rPr>
      <w:rFonts w:ascii="Times New Roman" w:hAnsi="Times New Roman"/>
      <w:kern w:val="0"/>
      <w:sz w:val="20"/>
      <w:szCs w:val="21"/>
    </w:rPr>
  </w:style>
  <w:style w:type="character" w:customStyle="1" w:styleId="53">
    <w:name w:val="日期 Char"/>
    <w:basedOn w:val="23"/>
    <w:link w:val="12"/>
    <w:qFormat/>
    <w:uiPriority w:val="0"/>
    <w:rPr>
      <w:rFonts w:ascii="Calibri" w:hAnsi="Calibri"/>
      <w:kern w:val="2"/>
      <w:sz w:val="21"/>
      <w:szCs w:val="24"/>
    </w:rPr>
  </w:style>
  <w:style w:type="paragraph" w:customStyle="1" w:styleId="54">
    <w:name w:val="表格填充项"/>
    <w:basedOn w:val="1"/>
    <w:qFormat/>
    <w:uiPriority w:val="0"/>
    <w:pPr>
      <w:spacing w:line="240" w:lineRule="atLeast"/>
      <w:jc w:val="center"/>
    </w:pPr>
    <w:rPr>
      <w:rFonts w:ascii="宋体" w:hAnsi="宋体"/>
      <w:b/>
    </w:rPr>
  </w:style>
  <w:style w:type="character" w:customStyle="1" w:styleId="55">
    <w:name w:val="表中字 Char"/>
    <w:link w:val="56"/>
    <w:qFormat/>
    <w:locked/>
    <w:uiPriority w:val="0"/>
    <w:rPr>
      <w:kern w:val="2"/>
      <w:sz w:val="21"/>
      <w:szCs w:val="22"/>
      <w:lang w:val="zh-CN"/>
    </w:rPr>
  </w:style>
  <w:style w:type="paragraph" w:customStyle="1" w:styleId="56">
    <w:name w:val="表中字"/>
    <w:basedOn w:val="1"/>
    <w:link w:val="55"/>
    <w:qFormat/>
    <w:uiPriority w:val="0"/>
    <w:pPr>
      <w:spacing w:line="240" w:lineRule="atLeast"/>
      <w:jc w:val="center"/>
    </w:pPr>
    <w:rPr>
      <w:rFonts w:ascii="Times New Roman" w:hAnsi="Times New Roman"/>
      <w:szCs w:val="22"/>
      <w:lang w:val="zh-CN"/>
    </w:rPr>
  </w:style>
  <w:style w:type="paragraph" w:styleId="5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Char Char Char Char Char Char Char2"/>
    <w:basedOn w:val="1"/>
    <w:qFormat/>
    <w:uiPriority w:val="0"/>
    <w:pPr>
      <w:spacing w:line="360" w:lineRule="auto"/>
      <w:ind w:firstLine="200" w:firstLineChars="200"/>
    </w:pPr>
    <w:rPr>
      <w:rFonts w:ascii="宋体" w:hAnsi="宋体" w:cs="宋体"/>
      <w:sz w:val="24"/>
    </w:rPr>
  </w:style>
  <w:style w:type="character" w:customStyle="1" w:styleId="59">
    <w:name w:val="表格内容 Char"/>
    <w:link w:val="42"/>
    <w:qFormat/>
    <w:uiPriority w:val="0"/>
    <w:rPr>
      <w:rFonts w:ascii="Calibri" w:hAnsi="Calibri" w:eastAsia="Times New Roman"/>
      <w:sz w:val="21"/>
      <w:szCs w:val="21"/>
      <w:lang w:val="zh-CN"/>
    </w:rPr>
  </w:style>
  <w:style w:type="character" w:customStyle="1" w:styleId="60">
    <w:name w:val="【正文】 Char"/>
    <w:link w:val="29"/>
    <w:qFormat/>
    <w:uiPriority w:val="0"/>
    <w:rPr>
      <w:rFonts w:ascii="Calibri" w:hAnsi="Calibri"/>
      <w:kern w:val="2"/>
      <w:sz w:val="24"/>
      <w:szCs w:val="24"/>
    </w:rPr>
  </w:style>
  <w:style w:type="character" w:customStyle="1" w:styleId="61">
    <w:name w:val="【表中文字】 Char"/>
    <w:link w:val="36"/>
    <w:qFormat/>
    <w:uiPriority w:val="0"/>
    <w:rPr>
      <w:rFonts w:ascii="宋体" w:hAnsi="宋体"/>
      <w:kern w:val="2"/>
      <w:sz w:val="21"/>
    </w:rPr>
  </w:style>
  <w:style w:type="character" w:customStyle="1" w:styleId="62">
    <w:name w:val="【表头】 Char"/>
    <w:link w:val="63"/>
    <w:qFormat/>
    <w:uiPriority w:val="0"/>
    <w:rPr>
      <w:rFonts w:eastAsia="黑体"/>
      <w:sz w:val="24"/>
    </w:rPr>
  </w:style>
  <w:style w:type="paragraph" w:customStyle="1" w:styleId="63">
    <w:name w:val="【表头】"/>
    <w:basedOn w:val="1"/>
    <w:link w:val="62"/>
    <w:qFormat/>
    <w:uiPriority w:val="0"/>
    <w:pPr>
      <w:spacing w:line="460" w:lineRule="exact"/>
      <w:jc w:val="center"/>
    </w:pPr>
    <w:rPr>
      <w:rFonts w:ascii="Times New Roman" w:hAnsi="Times New Roman" w:eastAsia="黑体"/>
      <w:kern w:val="0"/>
      <w:sz w:val="24"/>
      <w:szCs w:val="20"/>
    </w:rPr>
  </w:style>
  <w:style w:type="paragraph" w:styleId="64">
    <w:name w:val="List Paragraph"/>
    <w:basedOn w:val="1"/>
    <w:qFormat/>
    <w:uiPriority w:val="99"/>
    <w:pPr>
      <w:ind w:firstLine="420" w:firstLineChars="200"/>
    </w:pPr>
  </w:style>
  <w:style w:type="paragraph" w:customStyle="1" w:styleId="65">
    <w:name w:val="表格内容样式"/>
    <w:basedOn w:val="1"/>
    <w:next w:val="1"/>
    <w:qFormat/>
    <w:uiPriority w:val="0"/>
    <w:pPr>
      <w:spacing w:line="360" w:lineRule="exact"/>
      <w:jc w:val="center"/>
    </w:pPr>
    <w:rPr>
      <w:rFonts w:ascii="Times New Roman" w:hAnsi="Times New Roman"/>
    </w:rPr>
  </w:style>
  <w:style w:type="paragraph" w:customStyle="1" w:styleId="66">
    <w:name w:val="表格内容格式"/>
    <w:basedOn w:val="1"/>
    <w:next w:val="1"/>
    <w:unhideWhenUsed/>
    <w:qFormat/>
    <w:uiPriority w:val="0"/>
    <w:pPr>
      <w:spacing w:line="360" w:lineRule="exact"/>
      <w:jc w:val="center"/>
    </w:pPr>
    <w:rPr>
      <w:rFonts w:ascii="Times New Roman" w:hAnsi="Times New Roman"/>
    </w:rPr>
  </w:style>
  <w:style w:type="paragraph" w:customStyle="1" w:styleId="67">
    <w:name w:val="表格文字"/>
    <w:basedOn w:val="1"/>
    <w:link w:val="68"/>
    <w:qFormat/>
    <w:uiPriority w:val="0"/>
    <w:pPr>
      <w:widowControl/>
      <w:adjustRightInd w:val="0"/>
      <w:snapToGrid w:val="0"/>
      <w:jc w:val="center"/>
    </w:pPr>
    <w:rPr>
      <w:rFonts w:ascii="Times New Roman" w:hAnsi="Times New Roman"/>
      <w:szCs w:val="21"/>
    </w:rPr>
  </w:style>
  <w:style w:type="character" w:customStyle="1" w:styleId="68">
    <w:name w:val="表格文字 Char"/>
    <w:link w:val="67"/>
    <w:qFormat/>
    <w:uiPriority w:val="0"/>
    <w:rPr>
      <w:kern w:val="2"/>
      <w:sz w:val="21"/>
      <w:szCs w:val="21"/>
    </w:rPr>
  </w:style>
  <w:style w:type="character" w:customStyle="1" w:styleId="69">
    <w:name w:val="font51"/>
    <w:basedOn w:val="23"/>
    <w:qFormat/>
    <w:uiPriority w:val="0"/>
    <w:rPr>
      <w:rFonts w:hint="default" w:ascii="Times New Roman" w:hAnsi="Times New Roman" w:cs="Times New Roman"/>
      <w:color w:val="000000"/>
      <w:sz w:val="21"/>
      <w:szCs w:val="21"/>
      <w:u w:val="none"/>
    </w:rPr>
  </w:style>
  <w:style w:type="paragraph" w:customStyle="1" w:styleId="70">
    <w:name w:val="正文1"/>
    <w:qFormat/>
    <w:uiPriority w:val="99"/>
    <w:pPr>
      <w:widowControl w:val="0"/>
      <w:adjustRightInd w:val="0"/>
      <w:spacing w:line="360" w:lineRule="atLeast"/>
    </w:pPr>
    <w:rPr>
      <w:rFonts w:ascii="宋体"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FB43B1-0B77-4886-A658-452AABC7AFDF}">
  <ds:schemaRefs/>
</ds:datastoreItem>
</file>

<file path=docProps/app.xml><?xml version="1.0" encoding="utf-8"?>
<Properties xmlns="http://schemas.openxmlformats.org/officeDocument/2006/extended-properties" xmlns:vt="http://schemas.openxmlformats.org/officeDocument/2006/docPropsVTypes">
  <Template>Normal.dotm</Template>
  <Company>Win10NeT.COM</Company>
  <Pages>39</Pages>
  <Words>16801</Words>
  <Characters>19088</Characters>
  <Lines>147</Lines>
  <Paragraphs>41</Paragraphs>
  <TotalTime>1061</TotalTime>
  <ScaleCrop>false</ScaleCrop>
  <LinksUpToDate>false</LinksUpToDate>
  <CharactersWithSpaces>19212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2021-06-29T05:50:00Z</dcterms:created>
  <dc:creator>Administrator</dc:creator>
  <cp:lastModifiedBy>于欢</cp:lastModifiedBy>
  <cp:lastPrinted>2022-07-07T07:22:00Z</cp:lastPrinted>
  <dcterms:modified xsi:type="dcterms:W3CDTF">2023-01-09T01:48:02Z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77D68804068A4244B0A2321B7B9CC5F9</vt:lpwstr>
  </property>
</Properties>
</file>